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EBA429" w14:textId="58A62CEB" w:rsidR="00637C39" w:rsidRPr="00637C39" w:rsidRDefault="00637C39" w:rsidP="00637C39">
      <w:pPr>
        <w:jc w:val="center"/>
        <w:rPr>
          <w:rFonts w:ascii="Times New Roman" w:eastAsia="宋体" w:hAnsi="Times New Roman" w:cs="Times New Roman"/>
          <w:b/>
          <w:bCs/>
          <w:sz w:val="28"/>
          <w:szCs w:val="28"/>
        </w:rPr>
      </w:pPr>
      <w:r w:rsidRPr="00637C39">
        <w:rPr>
          <w:rFonts w:ascii="Times New Roman" w:eastAsia="宋体" w:hAnsi="Times New Roman" w:cs="Times New Roman"/>
          <w:b/>
          <w:bCs/>
          <w:sz w:val="28"/>
          <w:szCs w:val="28"/>
        </w:rPr>
        <w:t>《</w:t>
      </w:r>
      <w:r w:rsidRPr="00637C39">
        <w:rPr>
          <w:rFonts w:ascii="Times New Roman" w:eastAsia="宋体" w:hAnsi="Times New Roman" w:cs="Times New Roman" w:hint="eastAsia"/>
          <w:b/>
          <w:bCs/>
          <w:sz w:val="28"/>
          <w:szCs w:val="28"/>
        </w:rPr>
        <w:t>智能制造政策、知识重构与供应链韧性</w:t>
      </w:r>
      <w:r w:rsidRPr="00637C39">
        <w:rPr>
          <w:rFonts w:ascii="Times New Roman" w:eastAsia="宋体" w:hAnsi="Times New Roman" w:cs="Times New Roman"/>
          <w:b/>
          <w:bCs/>
          <w:sz w:val="28"/>
          <w:szCs w:val="28"/>
        </w:rPr>
        <w:t>》</w:t>
      </w:r>
    </w:p>
    <w:p w14:paraId="2605A3E5" w14:textId="77777777" w:rsidR="00637C39" w:rsidRDefault="00637C39" w:rsidP="00637C39">
      <w:pPr>
        <w:jc w:val="center"/>
        <w:rPr>
          <w:rFonts w:ascii="Times New Roman" w:eastAsia="宋体" w:hAnsi="Times New Roman" w:cs="Times New Roman"/>
          <w:b/>
          <w:bCs/>
          <w:sz w:val="28"/>
          <w:szCs w:val="28"/>
        </w:rPr>
      </w:pPr>
      <w:r w:rsidRPr="00637C39">
        <w:rPr>
          <w:rFonts w:ascii="Times New Roman" w:eastAsia="宋体" w:hAnsi="Times New Roman" w:cs="Times New Roman"/>
          <w:b/>
          <w:bCs/>
          <w:sz w:val="28"/>
          <w:szCs w:val="28"/>
        </w:rPr>
        <w:t>附加材料（附录）</w:t>
      </w:r>
    </w:p>
    <w:p w14:paraId="58A88357" w14:textId="77777777" w:rsidR="00637C39" w:rsidRDefault="00637C39" w:rsidP="00637C39">
      <w:pPr>
        <w:jc w:val="center"/>
        <w:rPr>
          <w:rFonts w:ascii="Times New Roman" w:eastAsia="宋体" w:hAnsi="Times New Roman" w:cs="Times New Roman"/>
          <w:b/>
          <w:bCs/>
          <w:sz w:val="28"/>
          <w:szCs w:val="28"/>
        </w:rPr>
      </w:pPr>
    </w:p>
    <w:p w14:paraId="68585395" w14:textId="16050059" w:rsidR="00637C39" w:rsidRPr="00637C39" w:rsidRDefault="00FC3F7C" w:rsidP="00637C39">
      <w:pPr>
        <w:spacing w:line="360" w:lineRule="auto"/>
        <w:jc w:val="left"/>
        <w:rPr>
          <w:rFonts w:ascii="Times New Roman" w:eastAsia="宋体" w:hAnsi="Times New Roman" w:cs="Times New Roman"/>
          <w:sz w:val="18"/>
          <w:szCs w:val="20"/>
        </w:rPr>
      </w:pPr>
      <w:r>
        <w:rPr>
          <w:rFonts w:ascii="Times New Roman" w:eastAsia="宋体" w:hAnsi="Times New Roman" w:cs="Times New Roman" w:hint="eastAsia"/>
          <w:sz w:val="18"/>
          <w:szCs w:val="20"/>
        </w:rPr>
        <w:t>附录</w:t>
      </w:r>
      <w:r w:rsidR="00637C39" w:rsidRPr="009F20E8">
        <w:rPr>
          <w:rFonts w:ascii="Times New Roman" w:eastAsia="宋体" w:hAnsi="Times New Roman" w:cs="Times New Roman"/>
          <w:sz w:val="18"/>
          <w:szCs w:val="20"/>
        </w:rPr>
        <w:t xml:space="preserve">1 </w:t>
      </w:r>
      <w:r w:rsidR="00637C39" w:rsidRPr="009F20E8">
        <w:rPr>
          <w:rFonts w:ascii="Times New Roman" w:eastAsia="宋体" w:hAnsi="Times New Roman" w:cs="Times New Roman"/>
          <w:sz w:val="18"/>
          <w:szCs w:val="20"/>
        </w:rPr>
        <w:tab/>
      </w:r>
      <w:r w:rsidR="00637C39" w:rsidRPr="009F20E8">
        <w:rPr>
          <w:rFonts w:ascii="Times New Roman" w:eastAsia="宋体" w:hAnsi="Times New Roman" w:cs="Times New Roman"/>
          <w:sz w:val="18"/>
          <w:szCs w:val="20"/>
        </w:rPr>
        <w:tab/>
      </w:r>
      <w:r w:rsidR="00637C39" w:rsidRPr="009F20E8">
        <w:rPr>
          <w:rFonts w:ascii="Times New Roman" w:eastAsia="宋体" w:hAnsi="Times New Roman" w:cs="Times New Roman"/>
          <w:sz w:val="18"/>
          <w:szCs w:val="20"/>
        </w:rPr>
        <w:tab/>
      </w:r>
      <w:r w:rsidR="00637C39" w:rsidRPr="009F20E8">
        <w:rPr>
          <w:rFonts w:ascii="Times New Roman" w:eastAsia="宋体" w:hAnsi="Times New Roman" w:cs="Times New Roman"/>
          <w:sz w:val="18"/>
          <w:szCs w:val="20"/>
        </w:rPr>
        <w:tab/>
      </w:r>
      <w:r w:rsidR="00637C39" w:rsidRPr="009F20E8">
        <w:rPr>
          <w:rFonts w:ascii="Times New Roman" w:eastAsia="宋体" w:hAnsi="Times New Roman" w:cs="Times New Roman"/>
          <w:sz w:val="18"/>
          <w:szCs w:val="20"/>
        </w:rPr>
        <w:tab/>
      </w:r>
      <w:r w:rsidR="00637C39" w:rsidRPr="009F20E8">
        <w:rPr>
          <w:rFonts w:ascii="Times New Roman" w:eastAsia="宋体" w:hAnsi="Times New Roman" w:cs="Times New Roman"/>
          <w:sz w:val="18"/>
          <w:szCs w:val="20"/>
        </w:rPr>
        <w:tab/>
      </w:r>
      <w:r w:rsidR="00637C39" w:rsidRPr="009F20E8">
        <w:rPr>
          <w:rFonts w:ascii="Times New Roman" w:eastAsia="宋体" w:hAnsi="Times New Roman" w:cs="Times New Roman"/>
          <w:sz w:val="18"/>
          <w:szCs w:val="20"/>
        </w:rPr>
        <w:tab/>
      </w:r>
      <w:r w:rsidR="00637C39">
        <w:rPr>
          <w:rFonts w:ascii="Times New Roman" w:eastAsia="宋体" w:hAnsi="Times New Roman" w:cs="Times New Roman"/>
          <w:sz w:val="18"/>
          <w:szCs w:val="20"/>
        </w:rPr>
        <w:tab/>
      </w:r>
      <w:r w:rsidR="00637C39" w:rsidRPr="009F20E8">
        <w:rPr>
          <w:rFonts w:ascii="Times New Roman" w:eastAsia="宋体" w:hAnsi="Times New Roman" w:cs="Times New Roman"/>
          <w:sz w:val="18"/>
          <w:szCs w:val="20"/>
        </w:rPr>
        <w:tab/>
      </w:r>
      <w:r w:rsidR="00637C39" w:rsidRPr="009F20E8">
        <w:rPr>
          <w:rFonts w:ascii="Times New Roman" w:eastAsia="宋体" w:hAnsi="Times New Roman" w:cs="Times New Roman"/>
          <w:sz w:val="18"/>
          <w:szCs w:val="20"/>
        </w:rPr>
        <w:t>供应链韧性指标体系</w:t>
      </w:r>
    </w:p>
    <w:tbl>
      <w:tblPr>
        <w:tblStyle w:val="a3"/>
        <w:tblW w:w="0" w:type="auto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638"/>
        <w:gridCol w:w="577"/>
        <w:gridCol w:w="698"/>
        <w:gridCol w:w="1489"/>
        <w:gridCol w:w="4253"/>
        <w:gridCol w:w="651"/>
      </w:tblGrid>
      <w:tr w:rsidR="00637C39" w:rsidRPr="00637C39" w14:paraId="4FEEFC01" w14:textId="77777777" w:rsidTr="00344E93">
        <w:tc>
          <w:tcPr>
            <w:tcW w:w="0" w:type="auto"/>
            <w:vAlign w:val="center"/>
          </w:tcPr>
          <w:p w14:paraId="1F8B77BD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37C39">
              <w:rPr>
                <w:rFonts w:ascii="Times New Roman" w:eastAsia="宋体" w:hAnsi="Times New Roman" w:cs="Times New Roman"/>
                <w:sz w:val="18"/>
                <w:szCs w:val="18"/>
              </w:rPr>
              <w:t>目标测</w:t>
            </w:r>
          </w:p>
        </w:tc>
        <w:tc>
          <w:tcPr>
            <w:tcW w:w="0" w:type="auto"/>
            <w:vAlign w:val="center"/>
          </w:tcPr>
          <w:p w14:paraId="447D43C2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37C39">
              <w:rPr>
                <w:rFonts w:ascii="Times New Roman" w:eastAsia="宋体" w:hAnsi="Times New Roman" w:cs="Times New Roman"/>
                <w:sz w:val="18"/>
                <w:szCs w:val="18"/>
              </w:rPr>
              <w:t>准则层</w:t>
            </w:r>
          </w:p>
        </w:tc>
        <w:tc>
          <w:tcPr>
            <w:tcW w:w="0" w:type="auto"/>
            <w:vAlign w:val="center"/>
          </w:tcPr>
          <w:p w14:paraId="149D48DD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37C39">
              <w:rPr>
                <w:rFonts w:ascii="Times New Roman" w:eastAsia="宋体" w:hAnsi="Times New Roman" w:cs="Times New Roman"/>
                <w:sz w:val="18"/>
                <w:szCs w:val="18"/>
              </w:rPr>
              <w:t>一级指标</w:t>
            </w:r>
          </w:p>
        </w:tc>
        <w:tc>
          <w:tcPr>
            <w:tcW w:w="1489" w:type="dxa"/>
            <w:vAlign w:val="center"/>
          </w:tcPr>
          <w:p w14:paraId="71010286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37C39">
              <w:rPr>
                <w:rFonts w:ascii="Times New Roman" w:eastAsia="宋体" w:hAnsi="Times New Roman" w:cs="Times New Roman"/>
                <w:sz w:val="18"/>
                <w:szCs w:val="18"/>
              </w:rPr>
              <w:t>二级指标</w:t>
            </w:r>
          </w:p>
        </w:tc>
        <w:tc>
          <w:tcPr>
            <w:tcW w:w="4253" w:type="dxa"/>
            <w:vAlign w:val="center"/>
          </w:tcPr>
          <w:p w14:paraId="4ECAD061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37C39">
              <w:rPr>
                <w:rFonts w:ascii="Times New Roman" w:eastAsia="宋体" w:hAnsi="Times New Roman" w:cs="Times New Roman"/>
                <w:sz w:val="18"/>
                <w:szCs w:val="18"/>
              </w:rPr>
              <w:t>衡量方式</w:t>
            </w:r>
          </w:p>
        </w:tc>
        <w:tc>
          <w:tcPr>
            <w:tcW w:w="651" w:type="dxa"/>
            <w:vAlign w:val="center"/>
          </w:tcPr>
          <w:p w14:paraId="55A90343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37C39">
              <w:rPr>
                <w:rFonts w:ascii="Times New Roman" w:eastAsia="宋体" w:hAnsi="Times New Roman" w:cs="Times New Roman"/>
                <w:sz w:val="18"/>
                <w:szCs w:val="18"/>
              </w:rPr>
              <w:t>性质</w:t>
            </w:r>
          </w:p>
        </w:tc>
      </w:tr>
      <w:tr w:rsidR="00637C39" w:rsidRPr="00637C39" w14:paraId="33473C1E" w14:textId="77777777" w:rsidTr="00344E93">
        <w:tc>
          <w:tcPr>
            <w:tcW w:w="0" w:type="auto"/>
            <w:vMerge w:val="restart"/>
            <w:vAlign w:val="center"/>
          </w:tcPr>
          <w:p w14:paraId="1E4683F6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37C39">
              <w:rPr>
                <w:rFonts w:ascii="Times New Roman" w:eastAsia="宋体" w:hAnsi="Times New Roman" w:cs="Times New Roman"/>
                <w:sz w:val="18"/>
                <w:szCs w:val="18"/>
              </w:rPr>
              <w:t>供应链韧性</w:t>
            </w:r>
          </w:p>
        </w:tc>
        <w:tc>
          <w:tcPr>
            <w:tcW w:w="0" w:type="auto"/>
            <w:vMerge w:val="restart"/>
            <w:vAlign w:val="center"/>
          </w:tcPr>
          <w:p w14:paraId="124146CB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37C39">
              <w:rPr>
                <w:rFonts w:ascii="Times New Roman" w:eastAsia="宋体" w:hAnsi="Times New Roman" w:cs="Times New Roman"/>
                <w:sz w:val="18"/>
                <w:szCs w:val="18"/>
              </w:rPr>
              <w:t>抵抗能力</w:t>
            </w:r>
          </w:p>
        </w:tc>
        <w:tc>
          <w:tcPr>
            <w:tcW w:w="0" w:type="auto"/>
            <w:vMerge w:val="restart"/>
            <w:vAlign w:val="center"/>
          </w:tcPr>
          <w:p w14:paraId="6D4585BA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37C39">
              <w:rPr>
                <w:rFonts w:ascii="Times New Roman" w:eastAsia="宋体" w:hAnsi="Times New Roman" w:cs="Times New Roman"/>
                <w:sz w:val="18"/>
                <w:szCs w:val="18"/>
              </w:rPr>
              <w:t>财务活力</w:t>
            </w:r>
          </w:p>
        </w:tc>
        <w:tc>
          <w:tcPr>
            <w:tcW w:w="1489" w:type="dxa"/>
            <w:vAlign w:val="center"/>
          </w:tcPr>
          <w:p w14:paraId="1F282250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流动比率</w:t>
            </w:r>
          </w:p>
        </w:tc>
        <w:tc>
          <w:tcPr>
            <w:tcW w:w="4253" w:type="dxa"/>
            <w:vAlign w:val="center"/>
          </w:tcPr>
          <w:p w14:paraId="61B926B6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流动资产</w:t>
            </w: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/</w:t>
            </w: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流动负债</w:t>
            </w:r>
          </w:p>
        </w:tc>
        <w:tc>
          <w:tcPr>
            <w:tcW w:w="651" w:type="dxa"/>
            <w:vAlign w:val="center"/>
          </w:tcPr>
          <w:p w14:paraId="170EF12E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37C39">
              <w:rPr>
                <w:rFonts w:ascii="Times New Roman" w:eastAsia="宋体" w:hAnsi="Times New Roman" w:cs="Times New Roman"/>
                <w:sz w:val="18"/>
                <w:szCs w:val="18"/>
              </w:rPr>
              <w:t>+</w:t>
            </w:r>
          </w:p>
        </w:tc>
      </w:tr>
      <w:tr w:rsidR="00637C39" w:rsidRPr="00637C39" w14:paraId="03FCBCD1" w14:textId="77777777" w:rsidTr="00344E93">
        <w:tc>
          <w:tcPr>
            <w:tcW w:w="0" w:type="auto"/>
            <w:vMerge/>
            <w:vAlign w:val="center"/>
          </w:tcPr>
          <w:p w14:paraId="4EDA0C89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1E1FC21B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43665396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489" w:type="dxa"/>
            <w:vAlign w:val="center"/>
          </w:tcPr>
          <w:p w14:paraId="47A169CC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速动比率</w:t>
            </w:r>
          </w:p>
        </w:tc>
        <w:tc>
          <w:tcPr>
            <w:tcW w:w="4253" w:type="dxa"/>
            <w:vAlign w:val="center"/>
          </w:tcPr>
          <w:p w14:paraId="16649BD1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（流动资产</w:t>
            </w: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-</w:t>
            </w: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存货）</w:t>
            </w: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/</w:t>
            </w: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流动负债</w:t>
            </w:r>
          </w:p>
        </w:tc>
        <w:tc>
          <w:tcPr>
            <w:tcW w:w="651" w:type="dxa"/>
            <w:vAlign w:val="center"/>
          </w:tcPr>
          <w:p w14:paraId="2CBA5933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37C39">
              <w:rPr>
                <w:rFonts w:ascii="Times New Roman" w:eastAsia="宋体" w:hAnsi="Times New Roman" w:cs="Times New Roman"/>
                <w:sz w:val="18"/>
                <w:szCs w:val="18"/>
              </w:rPr>
              <w:t>+</w:t>
            </w:r>
          </w:p>
        </w:tc>
      </w:tr>
      <w:tr w:rsidR="00637C39" w:rsidRPr="00637C39" w14:paraId="31C58477" w14:textId="77777777" w:rsidTr="00344E93">
        <w:tc>
          <w:tcPr>
            <w:tcW w:w="0" w:type="auto"/>
            <w:vMerge/>
            <w:vAlign w:val="center"/>
          </w:tcPr>
          <w:p w14:paraId="11E455C0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7FBA6696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2CFE7F68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489" w:type="dxa"/>
            <w:vAlign w:val="center"/>
          </w:tcPr>
          <w:p w14:paraId="3A6A7673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现金比率</w:t>
            </w:r>
          </w:p>
        </w:tc>
        <w:tc>
          <w:tcPr>
            <w:tcW w:w="4253" w:type="dxa"/>
            <w:vAlign w:val="center"/>
          </w:tcPr>
          <w:p w14:paraId="214EE010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现金及现金等价物期末余额</w:t>
            </w: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/</w:t>
            </w: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流动负债</w:t>
            </w:r>
          </w:p>
        </w:tc>
        <w:tc>
          <w:tcPr>
            <w:tcW w:w="651" w:type="dxa"/>
            <w:vAlign w:val="center"/>
          </w:tcPr>
          <w:p w14:paraId="69F687D2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37C39">
              <w:rPr>
                <w:rFonts w:ascii="Times New Roman" w:eastAsia="宋体" w:hAnsi="Times New Roman" w:cs="Times New Roman"/>
                <w:sz w:val="18"/>
                <w:szCs w:val="18"/>
              </w:rPr>
              <w:t>+</w:t>
            </w:r>
          </w:p>
        </w:tc>
      </w:tr>
      <w:tr w:rsidR="00637C39" w:rsidRPr="00637C39" w14:paraId="181F8FC5" w14:textId="77777777" w:rsidTr="00344E93">
        <w:tc>
          <w:tcPr>
            <w:tcW w:w="0" w:type="auto"/>
            <w:vMerge/>
            <w:vAlign w:val="center"/>
          </w:tcPr>
          <w:p w14:paraId="0177A8C5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66923161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vAlign w:val="center"/>
          </w:tcPr>
          <w:p w14:paraId="117D4FB4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37C39">
              <w:rPr>
                <w:rFonts w:ascii="Times New Roman" w:eastAsia="宋体" w:hAnsi="Times New Roman" w:cs="Times New Roman"/>
                <w:sz w:val="18"/>
                <w:szCs w:val="18"/>
              </w:rPr>
              <w:t>潜在资源</w:t>
            </w:r>
          </w:p>
        </w:tc>
        <w:tc>
          <w:tcPr>
            <w:tcW w:w="1489" w:type="dxa"/>
            <w:vAlign w:val="center"/>
          </w:tcPr>
          <w:p w14:paraId="0F6755D4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现金持有比率</w:t>
            </w:r>
          </w:p>
        </w:tc>
        <w:tc>
          <w:tcPr>
            <w:tcW w:w="4253" w:type="dxa"/>
            <w:vAlign w:val="center"/>
          </w:tcPr>
          <w:p w14:paraId="0A546AA7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（库存现金</w:t>
            </w: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+</w:t>
            </w: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交易性金融资产）</w:t>
            </w: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/</w:t>
            </w: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总资产</w:t>
            </w:r>
          </w:p>
        </w:tc>
        <w:tc>
          <w:tcPr>
            <w:tcW w:w="651" w:type="dxa"/>
            <w:vAlign w:val="center"/>
          </w:tcPr>
          <w:p w14:paraId="638C4AD4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37C39">
              <w:rPr>
                <w:rFonts w:ascii="Times New Roman" w:eastAsia="宋体" w:hAnsi="Times New Roman" w:cs="Times New Roman"/>
                <w:sz w:val="18"/>
                <w:szCs w:val="18"/>
              </w:rPr>
              <w:t>+</w:t>
            </w:r>
          </w:p>
        </w:tc>
      </w:tr>
      <w:tr w:rsidR="00637C39" w:rsidRPr="00637C39" w14:paraId="438593DA" w14:textId="77777777" w:rsidTr="00344E93">
        <w:tc>
          <w:tcPr>
            <w:tcW w:w="0" w:type="auto"/>
            <w:vMerge/>
            <w:vAlign w:val="center"/>
          </w:tcPr>
          <w:p w14:paraId="0DDB297F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2BD3B811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7449303A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489" w:type="dxa"/>
            <w:vAlign w:val="center"/>
          </w:tcPr>
          <w:p w14:paraId="36CC08EC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有效负债率</w:t>
            </w:r>
          </w:p>
        </w:tc>
        <w:tc>
          <w:tcPr>
            <w:tcW w:w="4253" w:type="dxa"/>
            <w:vAlign w:val="center"/>
          </w:tcPr>
          <w:p w14:paraId="4C7F1648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（总负债</w:t>
            </w: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-</w:t>
            </w: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预收）</w:t>
            </w: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/</w:t>
            </w: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（总资产</w:t>
            </w: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-</w:t>
            </w: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预收）</w:t>
            </w:r>
          </w:p>
        </w:tc>
        <w:tc>
          <w:tcPr>
            <w:tcW w:w="651" w:type="dxa"/>
            <w:vAlign w:val="center"/>
          </w:tcPr>
          <w:p w14:paraId="4286AC1C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37C39">
              <w:rPr>
                <w:rFonts w:ascii="Times New Roman" w:eastAsia="宋体" w:hAnsi="Times New Roman" w:cs="Times New Roman"/>
                <w:sz w:val="18"/>
                <w:szCs w:val="18"/>
              </w:rPr>
              <w:t>+</w:t>
            </w:r>
          </w:p>
        </w:tc>
      </w:tr>
      <w:tr w:rsidR="00637C39" w:rsidRPr="00637C39" w14:paraId="6FAAD3DE" w14:textId="77777777" w:rsidTr="00344E93">
        <w:tc>
          <w:tcPr>
            <w:tcW w:w="0" w:type="auto"/>
            <w:vMerge/>
            <w:vAlign w:val="center"/>
          </w:tcPr>
          <w:p w14:paraId="7685D853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07C8E8F5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419DBBC5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489" w:type="dxa"/>
            <w:vAlign w:val="center"/>
          </w:tcPr>
          <w:p w14:paraId="5B395A51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留存收益比率</w:t>
            </w:r>
          </w:p>
        </w:tc>
        <w:tc>
          <w:tcPr>
            <w:tcW w:w="4253" w:type="dxa"/>
            <w:vAlign w:val="center"/>
          </w:tcPr>
          <w:p w14:paraId="424AC8E4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期末留存收益</w:t>
            </w: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/</w:t>
            </w: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期末总资产</w:t>
            </w:r>
          </w:p>
        </w:tc>
        <w:tc>
          <w:tcPr>
            <w:tcW w:w="651" w:type="dxa"/>
            <w:vAlign w:val="center"/>
          </w:tcPr>
          <w:p w14:paraId="4A09A925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37C39">
              <w:rPr>
                <w:rFonts w:ascii="Times New Roman" w:eastAsia="宋体" w:hAnsi="Times New Roman" w:cs="Times New Roman"/>
                <w:sz w:val="18"/>
                <w:szCs w:val="18"/>
              </w:rPr>
              <w:t>+</w:t>
            </w:r>
          </w:p>
        </w:tc>
      </w:tr>
      <w:tr w:rsidR="00637C39" w:rsidRPr="00637C39" w14:paraId="7C01F947" w14:textId="77777777" w:rsidTr="00344E93">
        <w:tc>
          <w:tcPr>
            <w:tcW w:w="0" w:type="auto"/>
            <w:vMerge/>
            <w:vAlign w:val="center"/>
          </w:tcPr>
          <w:p w14:paraId="078EED47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11317990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vAlign w:val="center"/>
          </w:tcPr>
          <w:p w14:paraId="321148B4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37C39">
              <w:rPr>
                <w:rFonts w:ascii="Times New Roman" w:eastAsia="宋体" w:hAnsi="Times New Roman" w:cs="Times New Roman"/>
                <w:sz w:val="18"/>
                <w:szCs w:val="18"/>
              </w:rPr>
              <w:t>风险承担</w:t>
            </w:r>
          </w:p>
        </w:tc>
        <w:tc>
          <w:tcPr>
            <w:tcW w:w="1489" w:type="dxa"/>
            <w:vAlign w:val="center"/>
          </w:tcPr>
          <w:p w14:paraId="5C1EEE7E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权益负债比率</w:t>
            </w:r>
          </w:p>
        </w:tc>
        <w:tc>
          <w:tcPr>
            <w:tcW w:w="4253" w:type="dxa"/>
            <w:vAlign w:val="center"/>
          </w:tcPr>
          <w:p w14:paraId="29B02E18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期末股东权益的市场价值</w:t>
            </w: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/</w:t>
            </w: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期末总负债</w:t>
            </w:r>
          </w:p>
        </w:tc>
        <w:tc>
          <w:tcPr>
            <w:tcW w:w="651" w:type="dxa"/>
            <w:vAlign w:val="center"/>
          </w:tcPr>
          <w:p w14:paraId="66E50BC9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37C39">
              <w:rPr>
                <w:rFonts w:ascii="Times New Roman" w:eastAsia="宋体" w:hAnsi="Times New Roman" w:cs="Times New Roman"/>
                <w:sz w:val="18"/>
                <w:szCs w:val="18"/>
              </w:rPr>
              <w:t>+</w:t>
            </w:r>
          </w:p>
        </w:tc>
      </w:tr>
      <w:tr w:rsidR="00637C39" w:rsidRPr="00637C39" w14:paraId="2CC75645" w14:textId="77777777" w:rsidTr="00344E93">
        <w:tc>
          <w:tcPr>
            <w:tcW w:w="0" w:type="auto"/>
            <w:vMerge/>
            <w:vAlign w:val="center"/>
          </w:tcPr>
          <w:p w14:paraId="72C52222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0FBB709C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24DBC6B2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489" w:type="dxa"/>
            <w:vAlign w:val="center"/>
          </w:tcPr>
          <w:p w14:paraId="1E627315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经营杠杆</w:t>
            </w:r>
          </w:p>
        </w:tc>
        <w:tc>
          <w:tcPr>
            <w:tcW w:w="4253" w:type="dxa"/>
            <w:vAlign w:val="center"/>
          </w:tcPr>
          <w:p w14:paraId="41E5ACFE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（净利润</w:t>
            </w: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+</w:t>
            </w: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所得税费用</w:t>
            </w: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+</w:t>
            </w: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财务费用）</w:t>
            </w: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/</w:t>
            </w: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（净利润</w:t>
            </w: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+</w:t>
            </w: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所得税费用）</w:t>
            </w:r>
          </w:p>
        </w:tc>
        <w:tc>
          <w:tcPr>
            <w:tcW w:w="651" w:type="dxa"/>
            <w:vAlign w:val="center"/>
          </w:tcPr>
          <w:p w14:paraId="232A673D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37C39">
              <w:rPr>
                <w:rFonts w:ascii="Times New Roman" w:eastAsia="宋体" w:hAnsi="Times New Roman" w:cs="Times New Roman"/>
                <w:sz w:val="18"/>
                <w:szCs w:val="18"/>
              </w:rPr>
              <w:t>-</w:t>
            </w:r>
          </w:p>
        </w:tc>
      </w:tr>
      <w:tr w:rsidR="00637C39" w:rsidRPr="00637C39" w14:paraId="4904C300" w14:textId="77777777" w:rsidTr="00344E93">
        <w:tc>
          <w:tcPr>
            <w:tcW w:w="0" w:type="auto"/>
            <w:vMerge/>
            <w:vAlign w:val="center"/>
          </w:tcPr>
          <w:p w14:paraId="76455700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5D279535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5293F5FC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489" w:type="dxa"/>
            <w:vAlign w:val="center"/>
          </w:tcPr>
          <w:p w14:paraId="11509553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财务杠杆</w:t>
            </w:r>
          </w:p>
        </w:tc>
        <w:tc>
          <w:tcPr>
            <w:tcW w:w="4253" w:type="dxa"/>
            <w:vAlign w:val="center"/>
          </w:tcPr>
          <w:p w14:paraId="5B7D3D49" w14:textId="77777777" w:rsidR="00637C39" w:rsidRPr="00637C39" w:rsidRDefault="00637C39" w:rsidP="00C013E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（净利润</w:t>
            </w: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+</w:t>
            </w: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所得税费用</w:t>
            </w: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+</w:t>
            </w: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财务费用</w:t>
            </w: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+</w:t>
            </w: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固定资产折旧、油气资产折耗、生产性生物资产折旧</w:t>
            </w: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+</w:t>
            </w: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无形资产摊销</w:t>
            </w: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+</w:t>
            </w: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长期待摊费用摊销）</w:t>
            </w: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/</w:t>
            </w: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（净利润</w:t>
            </w: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+</w:t>
            </w: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所得税费用</w:t>
            </w: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+</w:t>
            </w: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财务费用）</w:t>
            </w:r>
          </w:p>
        </w:tc>
        <w:tc>
          <w:tcPr>
            <w:tcW w:w="651" w:type="dxa"/>
            <w:vAlign w:val="center"/>
          </w:tcPr>
          <w:p w14:paraId="6EA4F2D5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37C39">
              <w:rPr>
                <w:rFonts w:ascii="Times New Roman" w:eastAsia="宋体" w:hAnsi="Times New Roman" w:cs="Times New Roman"/>
                <w:sz w:val="18"/>
                <w:szCs w:val="18"/>
              </w:rPr>
              <w:t>-</w:t>
            </w:r>
          </w:p>
        </w:tc>
      </w:tr>
      <w:tr w:rsidR="00637C39" w:rsidRPr="00637C39" w14:paraId="40A3E8DB" w14:textId="77777777" w:rsidTr="00344E93">
        <w:tc>
          <w:tcPr>
            <w:tcW w:w="0" w:type="auto"/>
            <w:vMerge/>
            <w:vAlign w:val="center"/>
          </w:tcPr>
          <w:p w14:paraId="56B9A6F3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2B468ADA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4C49871D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489" w:type="dxa"/>
            <w:vAlign w:val="center"/>
          </w:tcPr>
          <w:p w14:paraId="3BD14D09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37C39">
              <w:rPr>
                <w:rFonts w:ascii="Times New Roman" w:eastAsia="宋体" w:hAnsi="Times New Roman" w:cs="Times New Roman"/>
                <w:sz w:val="18"/>
                <w:szCs w:val="18"/>
              </w:rPr>
              <w:t>BETA</w:t>
            </w:r>
            <w:r w:rsidRPr="00637C39">
              <w:rPr>
                <w:rFonts w:ascii="Times New Roman" w:eastAsia="宋体" w:hAnsi="Times New Roman" w:cs="Times New Roman"/>
                <w:sz w:val="18"/>
                <w:szCs w:val="18"/>
              </w:rPr>
              <w:t>指数</w:t>
            </w:r>
          </w:p>
        </w:tc>
        <w:tc>
          <w:tcPr>
            <w:tcW w:w="4253" w:type="dxa"/>
            <w:vAlign w:val="center"/>
          </w:tcPr>
          <w:p w14:paraId="67852284" w14:textId="77777777" w:rsidR="00637C39" w:rsidRPr="00637C39" w:rsidRDefault="00637C39" w:rsidP="00C013E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根据资本资产定价模型，运用年度</w:t>
            </w: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250</w:t>
            </w: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个交易日的数据测度</w:t>
            </w:r>
          </w:p>
        </w:tc>
        <w:tc>
          <w:tcPr>
            <w:tcW w:w="651" w:type="dxa"/>
            <w:vAlign w:val="center"/>
          </w:tcPr>
          <w:p w14:paraId="798A1065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37C39">
              <w:rPr>
                <w:rFonts w:ascii="Times New Roman" w:eastAsia="宋体" w:hAnsi="Times New Roman" w:cs="Times New Roman"/>
                <w:sz w:val="18"/>
                <w:szCs w:val="18"/>
              </w:rPr>
              <w:t>-</w:t>
            </w:r>
          </w:p>
        </w:tc>
      </w:tr>
      <w:tr w:rsidR="00637C39" w:rsidRPr="00637C39" w14:paraId="0FB801A7" w14:textId="77777777" w:rsidTr="00344E93">
        <w:tc>
          <w:tcPr>
            <w:tcW w:w="0" w:type="auto"/>
            <w:vMerge/>
            <w:vAlign w:val="center"/>
          </w:tcPr>
          <w:p w14:paraId="6B28DE44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vAlign w:val="center"/>
          </w:tcPr>
          <w:p w14:paraId="19E3C633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37C39">
              <w:rPr>
                <w:rFonts w:ascii="Times New Roman" w:eastAsia="宋体" w:hAnsi="Times New Roman" w:cs="Times New Roman"/>
                <w:sz w:val="18"/>
                <w:szCs w:val="18"/>
              </w:rPr>
              <w:t>恢复能力</w:t>
            </w:r>
          </w:p>
        </w:tc>
        <w:tc>
          <w:tcPr>
            <w:tcW w:w="0" w:type="auto"/>
            <w:vMerge w:val="restart"/>
            <w:vAlign w:val="center"/>
          </w:tcPr>
          <w:p w14:paraId="523750CB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37C39">
              <w:rPr>
                <w:rFonts w:ascii="Times New Roman" w:eastAsia="宋体" w:hAnsi="Times New Roman" w:cs="Times New Roman"/>
                <w:sz w:val="18"/>
                <w:szCs w:val="18"/>
              </w:rPr>
              <w:t>盈利水平</w:t>
            </w:r>
          </w:p>
        </w:tc>
        <w:tc>
          <w:tcPr>
            <w:tcW w:w="1489" w:type="dxa"/>
            <w:vAlign w:val="center"/>
          </w:tcPr>
          <w:p w14:paraId="2F23536A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营业毛利率</w:t>
            </w:r>
          </w:p>
        </w:tc>
        <w:tc>
          <w:tcPr>
            <w:tcW w:w="4253" w:type="dxa"/>
            <w:vAlign w:val="center"/>
          </w:tcPr>
          <w:p w14:paraId="7943D0E9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（营业收入</w:t>
            </w: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-</w:t>
            </w: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营业成本）</w:t>
            </w: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/</w:t>
            </w: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营业收入</w:t>
            </w:r>
          </w:p>
        </w:tc>
        <w:tc>
          <w:tcPr>
            <w:tcW w:w="651" w:type="dxa"/>
            <w:vAlign w:val="center"/>
          </w:tcPr>
          <w:p w14:paraId="39B27ED2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37C39">
              <w:rPr>
                <w:rFonts w:ascii="Times New Roman" w:eastAsia="宋体" w:hAnsi="Times New Roman" w:cs="Times New Roman"/>
                <w:sz w:val="18"/>
                <w:szCs w:val="18"/>
              </w:rPr>
              <w:t>+</w:t>
            </w:r>
          </w:p>
        </w:tc>
      </w:tr>
      <w:tr w:rsidR="00637C39" w:rsidRPr="00637C39" w14:paraId="0747AD4D" w14:textId="77777777" w:rsidTr="00344E93">
        <w:tc>
          <w:tcPr>
            <w:tcW w:w="0" w:type="auto"/>
            <w:vMerge/>
            <w:vAlign w:val="center"/>
          </w:tcPr>
          <w:p w14:paraId="21242276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024AC497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09647F6B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489" w:type="dxa"/>
            <w:vAlign w:val="center"/>
          </w:tcPr>
          <w:p w14:paraId="6F78E5F1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销售净利润率</w:t>
            </w:r>
          </w:p>
        </w:tc>
        <w:tc>
          <w:tcPr>
            <w:tcW w:w="4253" w:type="dxa"/>
            <w:vAlign w:val="center"/>
          </w:tcPr>
          <w:p w14:paraId="0C1A369F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净利润</w:t>
            </w: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/</w:t>
            </w: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营业收入</w:t>
            </w:r>
          </w:p>
        </w:tc>
        <w:tc>
          <w:tcPr>
            <w:tcW w:w="651" w:type="dxa"/>
            <w:vAlign w:val="center"/>
          </w:tcPr>
          <w:p w14:paraId="64AE217D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37C39">
              <w:rPr>
                <w:rFonts w:ascii="Times New Roman" w:eastAsia="宋体" w:hAnsi="Times New Roman" w:cs="Times New Roman"/>
                <w:sz w:val="18"/>
                <w:szCs w:val="18"/>
              </w:rPr>
              <w:t>+</w:t>
            </w:r>
          </w:p>
        </w:tc>
      </w:tr>
      <w:tr w:rsidR="00637C39" w:rsidRPr="00637C39" w14:paraId="420BC5E5" w14:textId="77777777" w:rsidTr="00344E93">
        <w:tc>
          <w:tcPr>
            <w:tcW w:w="0" w:type="auto"/>
            <w:vMerge/>
            <w:vAlign w:val="center"/>
          </w:tcPr>
          <w:p w14:paraId="63D0243C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430AF3A7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1632300D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489" w:type="dxa"/>
            <w:vAlign w:val="center"/>
          </w:tcPr>
          <w:p w14:paraId="1E6A2928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净利润现金净含量</w:t>
            </w:r>
          </w:p>
        </w:tc>
        <w:tc>
          <w:tcPr>
            <w:tcW w:w="4253" w:type="dxa"/>
            <w:vAlign w:val="center"/>
          </w:tcPr>
          <w:p w14:paraId="69B9B37A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经营现金净流量</w:t>
            </w: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/</w:t>
            </w: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净利润</w:t>
            </w:r>
          </w:p>
        </w:tc>
        <w:tc>
          <w:tcPr>
            <w:tcW w:w="651" w:type="dxa"/>
            <w:vAlign w:val="center"/>
          </w:tcPr>
          <w:p w14:paraId="14274842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37C39">
              <w:rPr>
                <w:rFonts w:ascii="Times New Roman" w:eastAsia="宋体" w:hAnsi="Times New Roman" w:cs="Times New Roman"/>
                <w:sz w:val="18"/>
                <w:szCs w:val="18"/>
              </w:rPr>
              <w:t>+</w:t>
            </w:r>
          </w:p>
        </w:tc>
      </w:tr>
      <w:tr w:rsidR="00637C39" w:rsidRPr="00637C39" w14:paraId="6A3FC54E" w14:textId="77777777" w:rsidTr="00344E93">
        <w:tc>
          <w:tcPr>
            <w:tcW w:w="0" w:type="auto"/>
            <w:vMerge/>
            <w:vAlign w:val="center"/>
          </w:tcPr>
          <w:p w14:paraId="58B3CBB0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049A158E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26398A4E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489" w:type="dxa"/>
            <w:vAlign w:val="center"/>
          </w:tcPr>
          <w:p w14:paraId="087BA223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成本费用利润率</w:t>
            </w:r>
          </w:p>
        </w:tc>
        <w:tc>
          <w:tcPr>
            <w:tcW w:w="4253" w:type="dxa"/>
            <w:vAlign w:val="center"/>
          </w:tcPr>
          <w:p w14:paraId="0A07DD5A" w14:textId="77777777" w:rsidR="00637C39" w:rsidRPr="00637C39" w:rsidRDefault="00637C39" w:rsidP="00C013E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（利润总额）</w:t>
            </w: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/</w:t>
            </w: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（营业成本</w:t>
            </w: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+</w:t>
            </w: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税金及附加</w:t>
            </w: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+</w:t>
            </w: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销售费用</w:t>
            </w: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+</w:t>
            </w: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管理费用</w:t>
            </w: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+</w:t>
            </w: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财务费用</w:t>
            </w: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+</w:t>
            </w: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研发费用）</w:t>
            </w:r>
          </w:p>
        </w:tc>
        <w:tc>
          <w:tcPr>
            <w:tcW w:w="651" w:type="dxa"/>
            <w:vAlign w:val="center"/>
          </w:tcPr>
          <w:p w14:paraId="6AC387DB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37C39">
              <w:rPr>
                <w:rFonts w:ascii="Times New Roman" w:eastAsia="宋体" w:hAnsi="Times New Roman" w:cs="Times New Roman"/>
                <w:sz w:val="18"/>
                <w:szCs w:val="18"/>
              </w:rPr>
              <w:t>-</w:t>
            </w:r>
          </w:p>
        </w:tc>
      </w:tr>
      <w:tr w:rsidR="00637C39" w:rsidRPr="00637C39" w14:paraId="1CA30979" w14:textId="77777777" w:rsidTr="00344E93">
        <w:tc>
          <w:tcPr>
            <w:tcW w:w="0" w:type="auto"/>
            <w:vMerge/>
            <w:vAlign w:val="center"/>
          </w:tcPr>
          <w:p w14:paraId="2B813EFE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185A6134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5E4FD3F1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489" w:type="dxa"/>
            <w:vAlign w:val="center"/>
          </w:tcPr>
          <w:p w14:paraId="3782AC67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投入资本回报率</w:t>
            </w:r>
          </w:p>
        </w:tc>
        <w:tc>
          <w:tcPr>
            <w:tcW w:w="4253" w:type="dxa"/>
            <w:vAlign w:val="center"/>
          </w:tcPr>
          <w:p w14:paraId="2B1CBBD1" w14:textId="77777777" w:rsidR="00637C39" w:rsidRPr="00637C39" w:rsidRDefault="00637C39" w:rsidP="00C013E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（净利润</w:t>
            </w: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+</w:t>
            </w: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财务费用）</w:t>
            </w: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/</w:t>
            </w: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（资产总计</w:t>
            </w: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-</w:t>
            </w: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流动负债</w:t>
            </w: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+</w:t>
            </w: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应付</w:t>
            </w: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lastRenderedPageBreak/>
              <w:t>票据</w:t>
            </w: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+</w:t>
            </w: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短期借款</w:t>
            </w: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+</w:t>
            </w: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一年内到期的非流动负债）</w:t>
            </w:r>
          </w:p>
        </w:tc>
        <w:tc>
          <w:tcPr>
            <w:tcW w:w="651" w:type="dxa"/>
            <w:vAlign w:val="center"/>
          </w:tcPr>
          <w:p w14:paraId="085E16F2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37C39">
              <w:rPr>
                <w:rFonts w:ascii="Times New Roman" w:eastAsia="宋体" w:hAnsi="Times New Roman" w:cs="Times New Roman"/>
                <w:sz w:val="18"/>
                <w:szCs w:val="18"/>
              </w:rPr>
              <w:lastRenderedPageBreak/>
              <w:t>+</w:t>
            </w:r>
          </w:p>
        </w:tc>
      </w:tr>
      <w:tr w:rsidR="00637C39" w:rsidRPr="00637C39" w14:paraId="47713200" w14:textId="77777777" w:rsidTr="00344E93">
        <w:tc>
          <w:tcPr>
            <w:tcW w:w="0" w:type="auto"/>
            <w:vMerge/>
            <w:vAlign w:val="center"/>
          </w:tcPr>
          <w:p w14:paraId="35AF2C57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1C44E717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1A621CE6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489" w:type="dxa"/>
            <w:vAlign w:val="center"/>
          </w:tcPr>
          <w:p w14:paraId="40FB583B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现金再投资比率</w:t>
            </w:r>
          </w:p>
        </w:tc>
        <w:tc>
          <w:tcPr>
            <w:tcW w:w="4253" w:type="dxa"/>
            <w:vAlign w:val="center"/>
          </w:tcPr>
          <w:p w14:paraId="05749D83" w14:textId="77777777" w:rsidR="00637C39" w:rsidRPr="00637C39" w:rsidRDefault="00637C39" w:rsidP="00C013E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（经营活动现金净流量</w:t>
            </w: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-</w:t>
            </w: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现金股利）</w:t>
            </w: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/</w:t>
            </w: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（固定资产</w:t>
            </w: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+</w:t>
            </w: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长期投资</w:t>
            </w: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+</w:t>
            </w: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其他资产</w:t>
            </w: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+</w:t>
            </w: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营运资金）</w:t>
            </w:r>
          </w:p>
        </w:tc>
        <w:tc>
          <w:tcPr>
            <w:tcW w:w="651" w:type="dxa"/>
            <w:vAlign w:val="center"/>
          </w:tcPr>
          <w:p w14:paraId="65CB6867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37C39">
              <w:rPr>
                <w:rFonts w:ascii="Times New Roman" w:eastAsia="宋体" w:hAnsi="Times New Roman" w:cs="Times New Roman"/>
                <w:sz w:val="18"/>
                <w:szCs w:val="18"/>
              </w:rPr>
              <w:t>+</w:t>
            </w:r>
          </w:p>
        </w:tc>
      </w:tr>
      <w:tr w:rsidR="00637C39" w:rsidRPr="00637C39" w14:paraId="6F4C2537" w14:textId="77777777" w:rsidTr="00344E93">
        <w:tc>
          <w:tcPr>
            <w:tcW w:w="0" w:type="auto"/>
            <w:vMerge/>
            <w:vAlign w:val="center"/>
          </w:tcPr>
          <w:p w14:paraId="5C980A22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4FC995EA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vAlign w:val="center"/>
          </w:tcPr>
          <w:p w14:paraId="03890A81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37C39">
              <w:rPr>
                <w:rFonts w:ascii="Times New Roman" w:eastAsia="宋体" w:hAnsi="Times New Roman" w:cs="Times New Roman"/>
                <w:sz w:val="18"/>
                <w:szCs w:val="18"/>
              </w:rPr>
              <w:t>恢复速度</w:t>
            </w:r>
          </w:p>
        </w:tc>
        <w:tc>
          <w:tcPr>
            <w:tcW w:w="1489" w:type="dxa"/>
            <w:vAlign w:val="center"/>
          </w:tcPr>
          <w:p w14:paraId="3B6497D5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现金及等价物周转率</w:t>
            </w:r>
          </w:p>
        </w:tc>
        <w:tc>
          <w:tcPr>
            <w:tcW w:w="4253" w:type="dxa"/>
            <w:vAlign w:val="center"/>
          </w:tcPr>
          <w:p w14:paraId="1D219D39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营业收入</w:t>
            </w: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/</w:t>
            </w: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现金及现金等价物余额</w:t>
            </w:r>
          </w:p>
        </w:tc>
        <w:tc>
          <w:tcPr>
            <w:tcW w:w="651" w:type="dxa"/>
            <w:vAlign w:val="center"/>
          </w:tcPr>
          <w:p w14:paraId="2D995B31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37C39">
              <w:rPr>
                <w:rFonts w:ascii="Times New Roman" w:eastAsia="宋体" w:hAnsi="Times New Roman" w:cs="Times New Roman"/>
                <w:sz w:val="18"/>
                <w:szCs w:val="18"/>
              </w:rPr>
              <w:t>+</w:t>
            </w:r>
          </w:p>
        </w:tc>
      </w:tr>
      <w:tr w:rsidR="00637C39" w:rsidRPr="00637C39" w14:paraId="48BADD14" w14:textId="77777777" w:rsidTr="00344E93">
        <w:tc>
          <w:tcPr>
            <w:tcW w:w="0" w:type="auto"/>
            <w:vMerge/>
            <w:vAlign w:val="center"/>
          </w:tcPr>
          <w:p w14:paraId="573C9495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4A1CFDA8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553BF497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489" w:type="dxa"/>
            <w:vAlign w:val="center"/>
          </w:tcPr>
          <w:p w14:paraId="78232788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应收账款周转率</w:t>
            </w:r>
          </w:p>
        </w:tc>
        <w:tc>
          <w:tcPr>
            <w:tcW w:w="4253" w:type="dxa"/>
            <w:vAlign w:val="center"/>
          </w:tcPr>
          <w:p w14:paraId="77B09513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营业收入</w:t>
            </w: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/</w:t>
            </w: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应收账款期末余额</w:t>
            </w:r>
          </w:p>
        </w:tc>
        <w:tc>
          <w:tcPr>
            <w:tcW w:w="651" w:type="dxa"/>
            <w:vAlign w:val="center"/>
          </w:tcPr>
          <w:p w14:paraId="4C53DFBB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37C39">
              <w:rPr>
                <w:rFonts w:ascii="Times New Roman" w:eastAsia="宋体" w:hAnsi="Times New Roman" w:cs="Times New Roman"/>
                <w:sz w:val="18"/>
                <w:szCs w:val="18"/>
              </w:rPr>
              <w:t>+</w:t>
            </w:r>
          </w:p>
        </w:tc>
      </w:tr>
      <w:tr w:rsidR="00637C39" w:rsidRPr="00637C39" w14:paraId="3BDEF562" w14:textId="77777777" w:rsidTr="00344E93">
        <w:tc>
          <w:tcPr>
            <w:tcW w:w="0" w:type="auto"/>
            <w:vMerge/>
            <w:vAlign w:val="center"/>
          </w:tcPr>
          <w:p w14:paraId="43C0216E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3CCF58A5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79888A0E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489" w:type="dxa"/>
            <w:vAlign w:val="center"/>
          </w:tcPr>
          <w:p w14:paraId="06252C4E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存货周转率</w:t>
            </w:r>
          </w:p>
        </w:tc>
        <w:tc>
          <w:tcPr>
            <w:tcW w:w="4253" w:type="dxa"/>
            <w:vAlign w:val="center"/>
          </w:tcPr>
          <w:p w14:paraId="5B21717E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营业成本</w:t>
            </w: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/</w:t>
            </w: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存货期末余额</w:t>
            </w:r>
          </w:p>
        </w:tc>
        <w:tc>
          <w:tcPr>
            <w:tcW w:w="651" w:type="dxa"/>
            <w:vAlign w:val="center"/>
          </w:tcPr>
          <w:p w14:paraId="2D0BE1B7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37C39">
              <w:rPr>
                <w:rFonts w:ascii="Times New Roman" w:eastAsia="宋体" w:hAnsi="Times New Roman" w:cs="Times New Roman"/>
                <w:sz w:val="18"/>
                <w:szCs w:val="18"/>
              </w:rPr>
              <w:t>+</w:t>
            </w:r>
          </w:p>
        </w:tc>
      </w:tr>
      <w:tr w:rsidR="00637C39" w:rsidRPr="00637C39" w14:paraId="4F11AF0C" w14:textId="77777777" w:rsidTr="00344E93">
        <w:tc>
          <w:tcPr>
            <w:tcW w:w="0" w:type="auto"/>
            <w:vMerge/>
            <w:vAlign w:val="center"/>
          </w:tcPr>
          <w:p w14:paraId="73788A83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7266C297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6B44168F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489" w:type="dxa"/>
            <w:vAlign w:val="center"/>
          </w:tcPr>
          <w:p w14:paraId="2E2267F5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固定资产周转率</w:t>
            </w:r>
          </w:p>
        </w:tc>
        <w:tc>
          <w:tcPr>
            <w:tcW w:w="4253" w:type="dxa"/>
            <w:vAlign w:val="center"/>
          </w:tcPr>
          <w:p w14:paraId="78FAED27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营业收入</w:t>
            </w: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/</w:t>
            </w: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固定资产期末净额</w:t>
            </w:r>
          </w:p>
        </w:tc>
        <w:tc>
          <w:tcPr>
            <w:tcW w:w="651" w:type="dxa"/>
            <w:vAlign w:val="center"/>
          </w:tcPr>
          <w:p w14:paraId="4D68F87D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37C39">
              <w:rPr>
                <w:rFonts w:ascii="Times New Roman" w:eastAsia="宋体" w:hAnsi="Times New Roman" w:cs="Times New Roman"/>
                <w:sz w:val="18"/>
                <w:szCs w:val="18"/>
              </w:rPr>
              <w:t>+</w:t>
            </w:r>
          </w:p>
        </w:tc>
      </w:tr>
      <w:tr w:rsidR="00637C39" w:rsidRPr="00637C39" w14:paraId="3AF3312E" w14:textId="77777777" w:rsidTr="00344E93">
        <w:tc>
          <w:tcPr>
            <w:tcW w:w="0" w:type="auto"/>
            <w:vMerge/>
            <w:vAlign w:val="center"/>
          </w:tcPr>
          <w:p w14:paraId="74753ED1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vAlign w:val="center"/>
          </w:tcPr>
          <w:p w14:paraId="50F7C180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37C39">
              <w:rPr>
                <w:rFonts w:ascii="Times New Roman" w:eastAsia="宋体" w:hAnsi="Times New Roman" w:cs="Times New Roman"/>
                <w:sz w:val="18"/>
                <w:szCs w:val="18"/>
              </w:rPr>
              <w:t>调适能力</w:t>
            </w:r>
          </w:p>
        </w:tc>
        <w:tc>
          <w:tcPr>
            <w:tcW w:w="0" w:type="auto"/>
            <w:vMerge w:val="restart"/>
            <w:vAlign w:val="center"/>
          </w:tcPr>
          <w:p w14:paraId="4BC722CB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37C39">
              <w:rPr>
                <w:rFonts w:ascii="Times New Roman" w:eastAsia="宋体" w:hAnsi="Times New Roman" w:cs="Times New Roman"/>
                <w:sz w:val="18"/>
                <w:szCs w:val="18"/>
              </w:rPr>
              <w:t>管理层结构</w:t>
            </w:r>
          </w:p>
        </w:tc>
        <w:tc>
          <w:tcPr>
            <w:tcW w:w="1489" w:type="dxa"/>
            <w:vAlign w:val="center"/>
          </w:tcPr>
          <w:p w14:paraId="318E90AD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高</w:t>
            </w:r>
            <w:proofErr w:type="gramStart"/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管年龄</w:t>
            </w:r>
            <w:proofErr w:type="gramEnd"/>
          </w:p>
        </w:tc>
        <w:tc>
          <w:tcPr>
            <w:tcW w:w="4253" w:type="dxa"/>
            <w:vAlign w:val="center"/>
          </w:tcPr>
          <w:p w14:paraId="455108E6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公司高</w:t>
            </w:r>
            <w:proofErr w:type="gramStart"/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管平均</w:t>
            </w:r>
            <w:proofErr w:type="gramEnd"/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年龄</w:t>
            </w:r>
          </w:p>
        </w:tc>
        <w:tc>
          <w:tcPr>
            <w:tcW w:w="651" w:type="dxa"/>
            <w:vAlign w:val="center"/>
          </w:tcPr>
          <w:p w14:paraId="50CF4768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37C39">
              <w:rPr>
                <w:rFonts w:ascii="Times New Roman" w:eastAsia="宋体" w:hAnsi="Times New Roman" w:cs="Times New Roman"/>
                <w:sz w:val="18"/>
                <w:szCs w:val="18"/>
              </w:rPr>
              <w:t>+</w:t>
            </w:r>
          </w:p>
        </w:tc>
      </w:tr>
      <w:tr w:rsidR="00637C39" w:rsidRPr="00637C39" w14:paraId="13C3F124" w14:textId="77777777" w:rsidTr="00344E93">
        <w:tc>
          <w:tcPr>
            <w:tcW w:w="0" w:type="auto"/>
            <w:vMerge/>
            <w:vAlign w:val="center"/>
          </w:tcPr>
          <w:p w14:paraId="1EB287BB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420DD87E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28371F29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489" w:type="dxa"/>
            <w:vAlign w:val="center"/>
          </w:tcPr>
          <w:p w14:paraId="65B32303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高管薪酬</w:t>
            </w:r>
          </w:p>
        </w:tc>
        <w:tc>
          <w:tcPr>
            <w:tcW w:w="4253" w:type="dxa"/>
            <w:vAlign w:val="center"/>
          </w:tcPr>
          <w:p w14:paraId="24530FFF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前三名高管薪酬</w:t>
            </w:r>
          </w:p>
        </w:tc>
        <w:tc>
          <w:tcPr>
            <w:tcW w:w="651" w:type="dxa"/>
            <w:vAlign w:val="center"/>
          </w:tcPr>
          <w:p w14:paraId="21995E50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37C39">
              <w:rPr>
                <w:rFonts w:ascii="Times New Roman" w:eastAsia="宋体" w:hAnsi="Times New Roman" w:cs="Times New Roman"/>
                <w:sz w:val="18"/>
                <w:szCs w:val="18"/>
              </w:rPr>
              <w:t>+</w:t>
            </w:r>
          </w:p>
        </w:tc>
      </w:tr>
      <w:tr w:rsidR="00637C39" w:rsidRPr="00637C39" w14:paraId="5DF2286D" w14:textId="77777777" w:rsidTr="00344E93">
        <w:tc>
          <w:tcPr>
            <w:tcW w:w="0" w:type="auto"/>
            <w:vMerge/>
            <w:vAlign w:val="center"/>
          </w:tcPr>
          <w:p w14:paraId="5F06AFE4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1E96B86A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172D7448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489" w:type="dxa"/>
            <w:vAlign w:val="center"/>
          </w:tcPr>
          <w:p w14:paraId="45D2A35B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高管学历</w:t>
            </w:r>
          </w:p>
        </w:tc>
        <w:tc>
          <w:tcPr>
            <w:tcW w:w="4253" w:type="dxa"/>
            <w:vAlign w:val="center"/>
          </w:tcPr>
          <w:p w14:paraId="3CD1B28D" w14:textId="77777777" w:rsidR="00637C39" w:rsidRPr="00637C39" w:rsidRDefault="00637C39" w:rsidP="00C013E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公司高管的平均学历水平，中专或中专以下为</w:t>
            </w: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</w:t>
            </w: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、大专为</w:t>
            </w: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</w:t>
            </w: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、本科为</w:t>
            </w: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</w:t>
            </w: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、硕士为</w:t>
            </w: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4</w:t>
            </w: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、博士为</w:t>
            </w: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651" w:type="dxa"/>
            <w:vAlign w:val="center"/>
          </w:tcPr>
          <w:p w14:paraId="53BB928E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37C39">
              <w:rPr>
                <w:rFonts w:ascii="Times New Roman" w:eastAsia="宋体" w:hAnsi="Times New Roman" w:cs="Times New Roman"/>
                <w:sz w:val="18"/>
                <w:szCs w:val="18"/>
              </w:rPr>
              <w:t>+</w:t>
            </w:r>
          </w:p>
        </w:tc>
      </w:tr>
      <w:tr w:rsidR="00637C39" w:rsidRPr="00637C39" w14:paraId="3B415B6C" w14:textId="77777777" w:rsidTr="00344E93">
        <w:tc>
          <w:tcPr>
            <w:tcW w:w="0" w:type="auto"/>
            <w:vMerge/>
            <w:vAlign w:val="center"/>
          </w:tcPr>
          <w:p w14:paraId="2E05CB72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2F5A92D5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vAlign w:val="center"/>
          </w:tcPr>
          <w:p w14:paraId="40BFB49E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37C39">
              <w:rPr>
                <w:rFonts w:ascii="Times New Roman" w:eastAsia="宋体" w:hAnsi="Times New Roman" w:cs="Times New Roman"/>
                <w:sz w:val="18"/>
                <w:szCs w:val="18"/>
              </w:rPr>
              <w:t>员工结构</w:t>
            </w:r>
          </w:p>
        </w:tc>
        <w:tc>
          <w:tcPr>
            <w:tcW w:w="1489" w:type="dxa"/>
            <w:vAlign w:val="center"/>
          </w:tcPr>
          <w:p w14:paraId="1580F6EE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员工人数</w:t>
            </w:r>
          </w:p>
        </w:tc>
        <w:tc>
          <w:tcPr>
            <w:tcW w:w="4253" w:type="dxa"/>
            <w:vAlign w:val="center"/>
          </w:tcPr>
          <w:p w14:paraId="0F8DC0A9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在职员工人数</w:t>
            </w:r>
          </w:p>
        </w:tc>
        <w:tc>
          <w:tcPr>
            <w:tcW w:w="651" w:type="dxa"/>
            <w:vAlign w:val="center"/>
          </w:tcPr>
          <w:p w14:paraId="4C24CFB6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37C39">
              <w:rPr>
                <w:rFonts w:ascii="Times New Roman" w:eastAsia="宋体" w:hAnsi="Times New Roman" w:cs="Times New Roman"/>
                <w:sz w:val="18"/>
                <w:szCs w:val="18"/>
              </w:rPr>
              <w:t>+</w:t>
            </w:r>
          </w:p>
        </w:tc>
      </w:tr>
      <w:tr w:rsidR="00637C39" w:rsidRPr="00637C39" w14:paraId="3B9D3B04" w14:textId="77777777" w:rsidTr="00344E93">
        <w:tc>
          <w:tcPr>
            <w:tcW w:w="0" w:type="auto"/>
            <w:vMerge/>
            <w:vAlign w:val="center"/>
          </w:tcPr>
          <w:p w14:paraId="555D2410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713D4DE1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57E1A94C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489" w:type="dxa"/>
            <w:vAlign w:val="center"/>
          </w:tcPr>
          <w:p w14:paraId="0728AC7E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研发人员占比</w:t>
            </w:r>
          </w:p>
        </w:tc>
        <w:tc>
          <w:tcPr>
            <w:tcW w:w="4253" w:type="dxa"/>
            <w:vAlign w:val="center"/>
          </w:tcPr>
          <w:p w14:paraId="3E6E161F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研发人员占员工人数比例</w:t>
            </w:r>
          </w:p>
        </w:tc>
        <w:tc>
          <w:tcPr>
            <w:tcW w:w="651" w:type="dxa"/>
            <w:vAlign w:val="center"/>
          </w:tcPr>
          <w:p w14:paraId="20536D85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37C39">
              <w:rPr>
                <w:rFonts w:ascii="Times New Roman" w:eastAsia="宋体" w:hAnsi="Times New Roman" w:cs="Times New Roman"/>
                <w:sz w:val="18"/>
                <w:szCs w:val="18"/>
              </w:rPr>
              <w:t>+</w:t>
            </w:r>
          </w:p>
        </w:tc>
      </w:tr>
      <w:tr w:rsidR="00637C39" w:rsidRPr="00637C39" w14:paraId="0CA9ABD5" w14:textId="77777777" w:rsidTr="00344E93">
        <w:tc>
          <w:tcPr>
            <w:tcW w:w="0" w:type="auto"/>
            <w:vMerge/>
            <w:vAlign w:val="center"/>
          </w:tcPr>
          <w:p w14:paraId="19EDEF08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57F7D2EE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5963EA2C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489" w:type="dxa"/>
            <w:vAlign w:val="center"/>
          </w:tcPr>
          <w:p w14:paraId="691B8188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应付职工工资</w:t>
            </w:r>
          </w:p>
        </w:tc>
        <w:tc>
          <w:tcPr>
            <w:tcW w:w="4253" w:type="dxa"/>
            <w:vAlign w:val="center"/>
          </w:tcPr>
          <w:p w14:paraId="5F453FA8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应付职</w:t>
            </w:r>
            <w:proofErr w:type="gramStart"/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工薪酬占总</w:t>
            </w:r>
            <w:proofErr w:type="gramEnd"/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资产比例</w:t>
            </w:r>
          </w:p>
        </w:tc>
        <w:tc>
          <w:tcPr>
            <w:tcW w:w="651" w:type="dxa"/>
            <w:vAlign w:val="center"/>
          </w:tcPr>
          <w:p w14:paraId="7EA7F688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37C39">
              <w:rPr>
                <w:rFonts w:ascii="Times New Roman" w:eastAsia="宋体" w:hAnsi="Times New Roman" w:cs="Times New Roman"/>
                <w:sz w:val="18"/>
                <w:szCs w:val="18"/>
              </w:rPr>
              <w:t>+</w:t>
            </w:r>
          </w:p>
        </w:tc>
      </w:tr>
      <w:tr w:rsidR="00637C39" w:rsidRPr="00637C39" w14:paraId="22E875CF" w14:textId="77777777" w:rsidTr="00344E93">
        <w:tc>
          <w:tcPr>
            <w:tcW w:w="0" w:type="auto"/>
            <w:vMerge/>
            <w:vAlign w:val="center"/>
          </w:tcPr>
          <w:p w14:paraId="6431B78F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625BD718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vAlign w:val="center"/>
          </w:tcPr>
          <w:p w14:paraId="78578E01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37C39">
              <w:rPr>
                <w:rFonts w:ascii="Times New Roman" w:eastAsia="宋体" w:hAnsi="Times New Roman" w:cs="Times New Roman"/>
                <w:sz w:val="18"/>
                <w:szCs w:val="18"/>
              </w:rPr>
              <w:t>供应</w:t>
            </w:r>
            <w:proofErr w:type="gramStart"/>
            <w:r w:rsidRPr="00637C39">
              <w:rPr>
                <w:rFonts w:ascii="Times New Roman" w:eastAsia="宋体" w:hAnsi="Times New Roman" w:cs="Times New Roman"/>
                <w:sz w:val="18"/>
                <w:szCs w:val="18"/>
              </w:rPr>
              <w:t>链结构</w:t>
            </w:r>
            <w:proofErr w:type="gramEnd"/>
          </w:p>
        </w:tc>
        <w:tc>
          <w:tcPr>
            <w:tcW w:w="1489" w:type="dxa"/>
            <w:vAlign w:val="center"/>
          </w:tcPr>
          <w:p w14:paraId="51EFB7D8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供应链波动度</w:t>
            </w:r>
          </w:p>
        </w:tc>
        <w:tc>
          <w:tcPr>
            <w:tcW w:w="4253" w:type="dxa"/>
            <w:vAlign w:val="center"/>
          </w:tcPr>
          <w:p w14:paraId="746CC07E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37C39">
              <w:rPr>
                <w:rFonts w:ascii="Times New Roman" w:eastAsia="宋体" w:hAnsi="Times New Roman" w:cs="Times New Roman"/>
                <w:sz w:val="18"/>
                <w:szCs w:val="18"/>
              </w:rPr>
              <w:t>前五大客户（供应商）的交易额方差与交易额均值比值</w:t>
            </w:r>
          </w:p>
        </w:tc>
        <w:tc>
          <w:tcPr>
            <w:tcW w:w="651" w:type="dxa"/>
            <w:vAlign w:val="center"/>
          </w:tcPr>
          <w:p w14:paraId="0B21989D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37C39">
              <w:rPr>
                <w:rFonts w:ascii="Times New Roman" w:eastAsia="宋体" w:hAnsi="Times New Roman" w:cs="Times New Roman"/>
                <w:sz w:val="18"/>
                <w:szCs w:val="18"/>
              </w:rPr>
              <w:t>-</w:t>
            </w:r>
          </w:p>
        </w:tc>
      </w:tr>
      <w:tr w:rsidR="00637C39" w:rsidRPr="00637C39" w14:paraId="1589B7D9" w14:textId="77777777" w:rsidTr="00344E93">
        <w:tc>
          <w:tcPr>
            <w:tcW w:w="0" w:type="auto"/>
            <w:vMerge/>
            <w:vAlign w:val="center"/>
          </w:tcPr>
          <w:p w14:paraId="4AFC5792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4DB85FEB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35449915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489" w:type="dxa"/>
            <w:vAlign w:val="center"/>
          </w:tcPr>
          <w:p w14:paraId="23B184E3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供应</w:t>
            </w:r>
            <w:proofErr w:type="gramStart"/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链集中</w:t>
            </w:r>
            <w:proofErr w:type="gramEnd"/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度</w:t>
            </w:r>
          </w:p>
        </w:tc>
        <w:tc>
          <w:tcPr>
            <w:tcW w:w="4253" w:type="dxa"/>
            <w:vAlign w:val="center"/>
          </w:tcPr>
          <w:p w14:paraId="6C43AC2A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37C39">
              <w:rPr>
                <w:rFonts w:ascii="Times New Roman" w:eastAsia="宋体" w:hAnsi="Times New Roman" w:cs="Times New Roman"/>
                <w:sz w:val="18"/>
                <w:szCs w:val="18"/>
              </w:rPr>
              <w:t>前五大客户（供应商）的采购额和销售额比例</w:t>
            </w:r>
          </w:p>
        </w:tc>
        <w:tc>
          <w:tcPr>
            <w:tcW w:w="651" w:type="dxa"/>
            <w:vAlign w:val="center"/>
          </w:tcPr>
          <w:p w14:paraId="7B30ADD5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37C39">
              <w:rPr>
                <w:rFonts w:ascii="Times New Roman" w:eastAsia="宋体" w:hAnsi="Times New Roman" w:cs="Times New Roman"/>
                <w:sz w:val="18"/>
                <w:szCs w:val="18"/>
              </w:rPr>
              <w:t>+</w:t>
            </w:r>
          </w:p>
        </w:tc>
      </w:tr>
      <w:tr w:rsidR="00637C39" w:rsidRPr="00637C39" w14:paraId="6C1333DA" w14:textId="77777777" w:rsidTr="00344E93">
        <w:tc>
          <w:tcPr>
            <w:tcW w:w="0" w:type="auto"/>
            <w:vMerge/>
            <w:vAlign w:val="center"/>
          </w:tcPr>
          <w:p w14:paraId="5F5EAFDC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4E8D7552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23DAA1EF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489" w:type="dxa"/>
            <w:vAlign w:val="center"/>
          </w:tcPr>
          <w:p w14:paraId="15830AD2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37C39">
              <w:rPr>
                <w:rFonts w:ascii="Times New Roman" w:eastAsia="宋体" w:hAnsi="Times New Roman" w:cs="Times New Roman"/>
                <w:sz w:val="18"/>
                <w:szCs w:val="18"/>
              </w:rPr>
              <w:t>供应链信任度</w:t>
            </w:r>
          </w:p>
        </w:tc>
        <w:tc>
          <w:tcPr>
            <w:tcW w:w="4253" w:type="dxa"/>
            <w:vAlign w:val="center"/>
          </w:tcPr>
          <w:p w14:paraId="5F42C838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应付账款</w:t>
            </w: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/</w:t>
            </w: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应收账款</w:t>
            </w:r>
          </w:p>
        </w:tc>
        <w:tc>
          <w:tcPr>
            <w:tcW w:w="651" w:type="dxa"/>
            <w:vAlign w:val="center"/>
          </w:tcPr>
          <w:p w14:paraId="2007F373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37C39">
              <w:rPr>
                <w:rFonts w:ascii="Times New Roman" w:eastAsia="宋体" w:hAnsi="Times New Roman" w:cs="Times New Roman"/>
                <w:sz w:val="18"/>
                <w:szCs w:val="18"/>
              </w:rPr>
              <w:t>+</w:t>
            </w:r>
          </w:p>
        </w:tc>
      </w:tr>
      <w:tr w:rsidR="00637C39" w:rsidRPr="00637C39" w14:paraId="5D989803" w14:textId="77777777" w:rsidTr="00344E93">
        <w:tc>
          <w:tcPr>
            <w:tcW w:w="0" w:type="auto"/>
            <w:vMerge/>
            <w:vAlign w:val="center"/>
          </w:tcPr>
          <w:p w14:paraId="37B9316D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56A9E68E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vAlign w:val="center"/>
          </w:tcPr>
          <w:p w14:paraId="4EFECC1F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37C39">
              <w:rPr>
                <w:rFonts w:ascii="Times New Roman" w:eastAsia="宋体" w:hAnsi="Times New Roman" w:cs="Times New Roman"/>
                <w:sz w:val="18"/>
                <w:szCs w:val="18"/>
              </w:rPr>
              <w:t>公司治理结构</w:t>
            </w:r>
          </w:p>
        </w:tc>
        <w:tc>
          <w:tcPr>
            <w:tcW w:w="1489" w:type="dxa"/>
            <w:vAlign w:val="center"/>
          </w:tcPr>
          <w:p w14:paraId="1FE9A8BD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股权制衡度</w:t>
            </w:r>
          </w:p>
        </w:tc>
        <w:tc>
          <w:tcPr>
            <w:tcW w:w="4253" w:type="dxa"/>
            <w:vAlign w:val="center"/>
          </w:tcPr>
          <w:p w14:paraId="61FB2E94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第二到五位大股东持股</w:t>
            </w: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/</w:t>
            </w: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第一大股东持股</w:t>
            </w:r>
          </w:p>
        </w:tc>
        <w:tc>
          <w:tcPr>
            <w:tcW w:w="651" w:type="dxa"/>
            <w:vAlign w:val="center"/>
          </w:tcPr>
          <w:p w14:paraId="7C36CE63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37C39">
              <w:rPr>
                <w:rFonts w:ascii="Times New Roman" w:eastAsia="宋体" w:hAnsi="Times New Roman" w:cs="Times New Roman"/>
                <w:sz w:val="18"/>
                <w:szCs w:val="18"/>
              </w:rPr>
              <w:t>+</w:t>
            </w:r>
          </w:p>
        </w:tc>
      </w:tr>
      <w:tr w:rsidR="00637C39" w:rsidRPr="00637C39" w14:paraId="3714AE22" w14:textId="77777777" w:rsidTr="00344E93">
        <w:tc>
          <w:tcPr>
            <w:tcW w:w="0" w:type="auto"/>
            <w:vMerge/>
            <w:vAlign w:val="center"/>
          </w:tcPr>
          <w:p w14:paraId="420C823B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74ECF4C9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4177BDAD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489" w:type="dxa"/>
            <w:vAlign w:val="center"/>
          </w:tcPr>
          <w:p w14:paraId="29B47D07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独立董事比例</w:t>
            </w:r>
          </w:p>
        </w:tc>
        <w:tc>
          <w:tcPr>
            <w:tcW w:w="4253" w:type="dxa"/>
            <w:vAlign w:val="center"/>
          </w:tcPr>
          <w:p w14:paraId="0C2D2D98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独立董事人数占董事会人数比例</w:t>
            </w:r>
          </w:p>
        </w:tc>
        <w:tc>
          <w:tcPr>
            <w:tcW w:w="651" w:type="dxa"/>
            <w:vAlign w:val="center"/>
          </w:tcPr>
          <w:p w14:paraId="3C3ACE9A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37C39">
              <w:rPr>
                <w:rFonts w:ascii="Times New Roman" w:eastAsia="宋体" w:hAnsi="Times New Roman" w:cs="Times New Roman"/>
                <w:sz w:val="18"/>
                <w:szCs w:val="18"/>
              </w:rPr>
              <w:t>+</w:t>
            </w:r>
          </w:p>
        </w:tc>
      </w:tr>
      <w:tr w:rsidR="00637C39" w:rsidRPr="00637C39" w14:paraId="23295D66" w14:textId="77777777" w:rsidTr="00344E93">
        <w:tc>
          <w:tcPr>
            <w:tcW w:w="0" w:type="auto"/>
            <w:vMerge/>
            <w:vAlign w:val="center"/>
          </w:tcPr>
          <w:p w14:paraId="2F690D11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6C272049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340E8BED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489" w:type="dxa"/>
            <w:vAlign w:val="center"/>
          </w:tcPr>
          <w:p w14:paraId="2D1AE33B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董事会会议次数</w:t>
            </w:r>
          </w:p>
        </w:tc>
        <w:tc>
          <w:tcPr>
            <w:tcW w:w="4253" w:type="dxa"/>
            <w:vAlign w:val="center"/>
          </w:tcPr>
          <w:p w14:paraId="7B8C29FE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当年董事会会议次数</w:t>
            </w:r>
          </w:p>
        </w:tc>
        <w:tc>
          <w:tcPr>
            <w:tcW w:w="651" w:type="dxa"/>
            <w:vAlign w:val="center"/>
          </w:tcPr>
          <w:p w14:paraId="4B33F420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37C39">
              <w:rPr>
                <w:rFonts w:ascii="Times New Roman" w:eastAsia="宋体" w:hAnsi="Times New Roman" w:cs="Times New Roman"/>
                <w:sz w:val="18"/>
                <w:szCs w:val="18"/>
              </w:rPr>
              <w:t>+</w:t>
            </w:r>
          </w:p>
        </w:tc>
      </w:tr>
      <w:tr w:rsidR="00637C39" w:rsidRPr="00637C39" w14:paraId="42C89AB7" w14:textId="77777777" w:rsidTr="00344E93">
        <w:trPr>
          <w:trHeight w:val="159"/>
        </w:trPr>
        <w:tc>
          <w:tcPr>
            <w:tcW w:w="0" w:type="auto"/>
            <w:vMerge/>
            <w:vAlign w:val="center"/>
          </w:tcPr>
          <w:p w14:paraId="04F0C981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vAlign w:val="center"/>
          </w:tcPr>
          <w:p w14:paraId="246F1D3A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37C39">
              <w:rPr>
                <w:rFonts w:ascii="Times New Roman" w:eastAsia="宋体" w:hAnsi="Times New Roman" w:cs="Times New Roman"/>
                <w:sz w:val="18"/>
                <w:szCs w:val="18"/>
              </w:rPr>
              <w:t>发展能力</w:t>
            </w:r>
          </w:p>
        </w:tc>
        <w:tc>
          <w:tcPr>
            <w:tcW w:w="0" w:type="auto"/>
            <w:vMerge w:val="restart"/>
            <w:vAlign w:val="center"/>
          </w:tcPr>
          <w:p w14:paraId="55C0F8DC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37C39">
              <w:rPr>
                <w:rFonts w:ascii="Times New Roman" w:eastAsia="宋体" w:hAnsi="Times New Roman" w:cs="Times New Roman"/>
                <w:sz w:val="18"/>
                <w:szCs w:val="18"/>
              </w:rPr>
              <w:t>环境适应能力</w:t>
            </w:r>
          </w:p>
        </w:tc>
        <w:tc>
          <w:tcPr>
            <w:tcW w:w="1489" w:type="dxa"/>
            <w:vAlign w:val="center"/>
          </w:tcPr>
          <w:p w14:paraId="6717F200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行业竞争力</w:t>
            </w:r>
          </w:p>
        </w:tc>
        <w:tc>
          <w:tcPr>
            <w:tcW w:w="4253" w:type="dxa"/>
            <w:vAlign w:val="center"/>
          </w:tcPr>
          <w:p w14:paraId="1CABE14A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个股勒</w:t>
            </w:r>
            <w:proofErr w:type="gramStart"/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纳指数</w:t>
            </w:r>
            <w:proofErr w:type="gramEnd"/>
          </w:p>
        </w:tc>
        <w:tc>
          <w:tcPr>
            <w:tcW w:w="651" w:type="dxa"/>
            <w:vAlign w:val="center"/>
          </w:tcPr>
          <w:p w14:paraId="08EE8DF5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37C39">
              <w:rPr>
                <w:rFonts w:ascii="Times New Roman" w:eastAsia="宋体" w:hAnsi="Times New Roman" w:cs="Times New Roman"/>
                <w:sz w:val="18"/>
                <w:szCs w:val="18"/>
              </w:rPr>
              <w:t>+</w:t>
            </w:r>
          </w:p>
        </w:tc>
      </w:tr>
      <w:tr w:rsidR="00637C39" w:rsidRPr="00637C39" w14:paraId="612E837E" w14:textId="77777777" w:rsidTr="00344E93">
        <w:tc>
          <w:tcPr>
            <w:tcW w:w="0" w:type="auto"/>
            <w:vMerge/>
            <w:vAlign w:val="center"/>
          </w:tcPr>
          <w:p w14:paraId="24E4267D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5FA5523D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6450DD47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489" w:type="dxa"/>
            <w:vAlign w:val="center"/>
          </w:tcPr>
          <w:p w14:paraId="0D45D4F2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固定资产更新度</w:t>
            </w:r>
          </w:p>
        </w:tc>
        <w:tc>
          <w:tcPr>
            <w:tcW w:w="4253" w:type="dxa"/>
            <w:vAlign w:val="center"/>
          </w:tcPr>
          <w:p w14:paraId="4B070DD2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固定资产净值</w:t>
            </w: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/</w:t>
            </w: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固定资产原值</w:t>
            </w:r>
          </w:p>
        </w:tc>
        <w:tc>
          <w:tcPr>
            <w:tcW w:w="651" w:type="dxa"/>
            <w:vAlign w:val="center"/>
          </w:tcPr>
          <w:p w14:paraId="68AA1D2F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37C39">
              <w:rPr>
                <w:rFonts w:ascii="Times New Roman" w:eastAsia="宋体" w:hAnsi="Times New Roman" w:cs="Times New Roman"/>
                <w:sz w:val="18"/>
                <w:szCs w:val="18"/>
              </w:rPr>
              <w:t>+</w:t>
            </w:r>
          </w:p>
        </w:tc>
      </w:tr>
      <w:tr w:rsidR="00637C39" w:rsidRPr="00637C39" w14:paraId="074CF176" w14:textId="77777777" w:rsidTr="00344E93">
        <w:tc>
          <w:tcPr>
            <w:tcW w:w="0" w:type="auto"/>
            <w:vMerge/>
            <w:vAlign w:val="center"/>
          </w:tcPr>
          <w:p w14:paraId="5077566F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0D3BBC1D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47AC6B91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489" w:type="dxa"/>
            <w:vAlign w:val="center"/>
          </w:tcPr>
          <w:p w14:paraId="3CA77B02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组织投入</w:t>
            </w:r>
          </w:p>
        </w:tc>
        <w:tc>
          <w:tcPr>
            <w:tcW w:w="4253" w:type="dxa"/>
            <w:vAlign w:val="center"/>
          </w:tcPr>
          <w:p w14:paraId="0026D3B2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管理费用</w:t>
            </w: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/</w:t>
            </w: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营业收入</w:t>
            </w:r>
          </w:p>
        </w:tc>
        <w:tc>
          <w:tcPr>
            <w:tcW w:w="651" w:type="dxa"/>
            <w:vAlign w:val="center"/>
          </w:tcPr>
          <w:p w14:paraId="6C941094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37C39">
              <w:rPr>
                <w:rFonts w:ascii="Times New Roman" w:eastAsia="宋体" w:hAnsi="Times New Roman" w:cs="Times New Roman"/>
                <w:sz w:val="18"/>
                <w:szCs w:val="18"/>
              </w:rPr>
              <w:t>+</w:t>
            </w:r>
          </w:p>
        </w:tc>
      </w:tr>
      <w:tr w:rsidR="00637C39" w:rsidRPr="00637C39" w14:paraId="41F6DA66" w14:textId="77777777" w:rsidTr="00344E93">
        <w:tc>
          <w:tcPr>
            <w:tcW w:w="0" w:type="auto"/>
            <w:vMerge/>
            <w:vAlign w:val="center"/>
          </w:tcPr>
          <w:p w14:paraId="2DD7E8C0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4F08E005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22870A97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489" w:type="dxa"/>
            <w:vAlign w:val="center"/>
          </w:tcPr>
          <w:p w14:paraId="31AE167A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广告和宣传投入</w:t>
            </w:r>
          </w:p>
        </w:tc>
        <w:tc>
          <w:tcPr>
            <w:tcW w:w="4253" w:type="dxa"/>
            <w:vAlign w:val="center"/>
          </w:tcPr>
          <w:p w14:paraId="7EA11511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销售费用</w:t>
            </w: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/</w:t>
            </w: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营业收入</w:t>
            </w:r>
          </w:p>
        </w:tc>
        <w:tc>
          <w:tcPr>
            <w:tcW w:w="651" w:type="dxa"/>
            <w:vAlign w:val="center"/>
          </w:tcPr>
          <w:p w14:paraId="04B229B6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37C39">
              <w:rPr>
                <w:rFonts w:ascii="Times New Roman" w:eastAsia="宋体" w:hAnsi="Times New Roman" w:cs="Times New Roman"/>
                <w:sz w:val="18"/>
                <w:szCs w:val="18"/>
              </w:rPr>
              <w:t>+</w:t>
            </w:r>
          </w:p>
        </w:tc>
      </w:tr>
      <w:tr w:rsidR="00637C39" w:rsidRPr="00637C39" w14:paraId="2A73842F" w14:textId="77777777" w:rsidTr="00344E93">
        <w:tc>
          <w:tcPr>
            <w:tcW w:w="0" w:type="auto"/>
            <w:vMerge/>
            <w:vAlign w:val="center"/>
          </w:tcPr>
          <w:p w14:paraId="36254622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4F006057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vAlign w:val="center"/>
          </w:tcPr>
          <w:p w14:paraId="5C7CC936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37C39">
              <w:rPr>
                <w:rFonts w:ascii="Times New Roman" w:eastAsia="宋体" w:hAnsi="Times New Roman" w:cs="Times New Roman"/>
                <w:sz w:val="18"/>
                <w:szCs w:val="18"/>
              </w:rPr>
              <w:t>自我成长激励</w:t>
            </w:r>
          </w:p>
        </w:tc>
        <w:tc>
          <w:tcPr>
            <w:tcW w:w="1489" w:type="dxa"/>
            <w:vAlign w:val="center"/>
          </w:tcPr>
          <w:p w14:paraId="3A401421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销售收入增长率</w:t>
            </w:r>
          </w:p>
        </w:tc>
        <w:tc>
          <w:tcPr>
            <w:tcW w:w="4253" w:type="dxa"/>
            <w:vAlign w:val="center"/>
          </w:tcPr>
          <w:p w14:paraId="475104F6" w14:textId="77777777" w:rsidR="00637C39" w:rsidRPr="00637C39" w:rsidRDefault="00637C39" w:rsidP="00C013E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（营业收入本年本期单季度金额</w:t>
            </w: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-</w:t>
            </w: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营业收入上一个单季度金额）</w:t>
            </w: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/</w:t>
            </w: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营业收入上一个单季度金额</w:t>
            </w:r>
          </w:p>
        </w:tc>
        <w:tc>
          <w:tcPr>
            <w:tcW w:w="651" w:type="dxa"/>
            <w:vAlign w:val="center"/>
          </w:tcPr>
          <w:p w14:paraId="0A383C71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37C39">
              <w:rPr>
                <w:rFonts w:ascii="Times New Roman" w:eastAsia="宋体" w:hAnsi="Times New Roman" w:cs="Times New Roman"/>
                <w:sz w:val="18"/>
                <w:szCs w:val="18"/>
              </w:rPr>
              <w:t>+</w:t>
            </w:r>
          </w:p>
        </w:tc>
      </w:tr>
      <w:tr w:rsidR="00637C39" w:rsidRPr="00637C39" w14:paraId="054BB83A" w14:textId="77777777" w:rsidTr="00344E93">
        <w:tc>
          <w:tcPr>
            <w:tcW w:w="0" w:type="auto"/>
            <w:vMerge/>
            <w:vAlign w:val="center"/>
          </w:tcPr>
          <w:p w14:paraId="2CA2BD57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7A468A45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7F3366D5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489" w:type="dxa"/>
            <w:vAlign w:val="center"/>
          </w:tcPr>
          <w:p w14:paraId="71FCFDA0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营业利润增长率</w:t>
            </w:r>
          </w:p>
        </w:tc>
        <w:tc>
          <w:tcPr>
            <w:tcW w:w="4253" w:type="dxa"/>
            <w:vAlign w:val="center"/>
          </w:tcPr>
          <w:p w14:paraId="119AD3E5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37C39">
              <w:rPr>
                <w:rFonts w:ascii="Times New Roman" w:eastAsia="宋体" w:hAnsi="Times New Roman" w:cs="Times New Roman"/>
                <w:sz w:val="18"/>
                <w:szCs w:val="18"/>
              </w:rPr>
              <w:t>（营业利润本年本期单季度金额</w:t>
            </w:r>
            <w:r w:rsidRPr="00637C39">
              <w:rPr>
                <w:rFonts w:ascii="Times New Roman" w:eastAsia="宋体" w:hAnsi="Times New Roman" w:cs="Times New Roman"/>
                <w:sz w:val="18"/>
                <w:szCs w:val="18"/>
              </w:rPr>
              <w:t>-</w:t>
            </w:r>
            <w:r w:rsidRPr="00637C39">
              <w:rPr>
                <w:rFonts w:ascii="Times New Roman" w:eastAsia="宋体" w:hAnsi="Times New Roman" w:cs="Times New Roman"/>
                <w:sz w:val="18"/>
                <w:szCs w:val="18"/>
              </w:rPr>
              <w:t>营业利润上一个单</w:t>
            </w:r>
            <w:r w:rsidRPr="00637C39">
              <w:rPr>
                <w:rFonts w:ascii="Times New Roman" w:eastAsia="宋体" w:hAnsi="Times New Roman" w:cs="Times New Roman"/>
                <w:sz w:val="18"/>
                <w:szCs w:val="18"/>
              </w:rPr>
              <w:lastRenderedPageBreak/>
              <w:t>季度金额）</w:t>
            </w:r>
            <w:r w:rsidRPr="00637C39">
              <w:rPr>
                <w:rFonts w:ascii="Times New Roman" w:eastAsia="宋体" w:hAnsi="Times New Roman" w:cs="Times New Roman"/>
                <w:sz w:val="18"/>
                <w:szCs w:val="18"/>
              </w:rPr>
              <w:t>/</w:t>
            </w:r>
            <w:r w:rsidRPr="00637C39">
              <w:rPr>
                <w:rFonts w:ascii="Times New Roman" w:eastAsia="宋体" w:hAnsi="Times New Roman" w:cs="Times New Roman"/>
                <w:sz w:val="18"/>
                <w:szCs w:val="18"/>
              </w:rPr>
              <w:t>营业利润上一个单季度金额</w:t>
            </w:r>
          </w:p>
        </w:tc>
        <w:tc>
          <w:tcPr>
            <w:tcW w:w="651" w:type="dxa"/>
            <w:vAlign w:val="center"/>
          </w:tcPr>
          <w:p w14:paraId="7BBFB9E6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37C39">
              <w:rPr>
                <w:rFonts w:ascii="Times New Roman" w:eastAsia="宋体" w:hAnsi="Times New Roman" w:cs="Times New Roman"/>
                <w:sz w:val="18"/>
                <w:szCs w:val="18"/>
              </w:rPr>
              <w:lastRenderedPageBreak/>
              <w:t>+</w:t>
            </w:r>
          </w:p>
        </w:tc>
      </w:tr>
      <w:tr w:rsidR="00637C39" w:rsidRPr="00637C39" w14:paraId="761FE0C1" w14:textId="77777777" w:rsidTr="00344E93">
        <w:tc>
          <w:tcPr>
            <w:tcW w:w="0" w:type="auto"/>
            <w:vMerge/>
            <w:vAlign w:val="center"/>
          </w:tcPr>
          <w:p w14:paraId="44E72C5D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739DB476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04211A6B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489" w:type="dxa"/>
            <w:vAlign w:val="center"/>
          </w:tcPr>
          <w:p w14:paraId="04FF1E9E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总资产增长率</w:t>
            </w:r>
          </w:p>
        </w:tc>
        <w:tc>
          <w:tcPr>
            <w:tcW w:w="4253" w:type="dxa"/>
            <w:vAlign w:val="center"/>
          </w:tcPr>
          <w:p w14:paraId="4A463929" w14:textId="77777777" w:rsidR="00637C39" w:rsidRPr="00637C39" w:rsidRDefault="00637C39" w:rsidP="00C013E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（资产总计本期期末值</w:t>
            </w: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-</w:t>
            </w: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资产总计本期期初值）</w:t>
            </w: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/</w:t>
            </w: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资产总计本期期初值</w:t>
            </w:r>
          </w:p>
        </w:tc>
        <w:tc>
          <w:tcPr>
            <w:tcW w:w="651" w:type="dxa"/>
            <w:vAlign w:val="center"/>
          </w:tcPr>
          <w:p w14:paraId="030BC8B8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37C39">
              <w:rPr>
                <w:rFonts w:ascii="Times New Roman" w:eastAsia="宋体" w:hAnsi="Times New Roman" w:cs="Times New Roman"/>
                <w:sz w:val="18"/>
                <w:szCs w:val="18"/>
              </w:rPr>
              <w:t>+</w:t>
            </w:r>
          </w:p>
        </w:tc>
      </w:tr>
      <w:tr w:rsidR="00637C39" w:rsidRPr="00637C39" w14:paraId="70A70153" w14:textId="77777777" w:rsidTr="00344E93">
        <w:tc>
          <w:tcPr>
            <w:tcW w:w="0" w:type="auto"/>
            <w:vMerge/>
            <w:vAlign w:val="center"/>
          </w:tcPr>
          <w:p w14:paraId="3FFE48DF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193E6E0D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0B10B6CD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489" w:type="dxa"/>
            <w:vAlign w:val="center"/>
          </w:tcPr>
          <w:p w14:paraId="1B41944B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可持续增长率</w:t>
            </w:r>
          </w:p>
        </w:tc>
        <w:tc>
          <w:tcPr>
            <w:tcW w:w="4253" w:type="dxa"/>
            <w:vAlign w:val="center"/>
          </w:tcPr>
          <w:p w14:paraId="3DE2AF1A" w14:textId="77777777" w:rsidR="00637C39" w:rsidRPr="00637C39" w:rsidRDefault="00637C39" w:rsidP="00C013E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（（净利润</w:t>
            </w: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/</w:t>
            </w: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所有者权益合计期末余额）</w:t>
            </w: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×</w:t>
            </w: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（</w:t>
            </w: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1-</w:t>
            </w: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税前每股股息</w:t>
            </w: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/</w:t>
            </w: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（净利润</w:t>
            </w:r>
            <w:proofErr w:type="gramStart"/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本期值</w:t>
            </w:r>
            <w:proofErr w:type="gramEnd"/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/</w:t>
            </w: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实收资本本期期末值）））</w:t>
            </w: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/</w:t>
            </w: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（</w:t>
            </w: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1-</w:t>
            </w: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（净利润</w:t>
            </w: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/</w:t>
            </w: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所有者权益合计期末余额））</w:t>
            </w:r>
          </w:p>
        </w:tc>
        <w:tc>
          <w:tcPr>
            <w:tcW w:w="651" w:type="dxa"/>
            <w:vAlign w:val="center"/>
          </w:tcPr>
          <w:p w14:paraId="3C645894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37C39">
              <w:rPr>
                <w:rFonts w:ascii="Times New Roman" w:eastAsia="宋体" w:hAnsi="Times New Roman" w:cs="Times New Roman"/>
                <w:sz w:val="18"/>
                <w:szCs w:val="18"/>
              </w:rPr>
              <w:t>+</w:t>
            </w:r>
          </w:p>
        </w:tc>
      </w:tr>
      <w:tr w:rsidR="00637C39" w:rsidRPr="00637C39" w14:paraId="47D2C642" w14:textId="77777777" w:rsidTr="00344E93">
        <w:tc>
          <w:tcPr>
            <w:tcW w:w="0" w:type="auto"/>
            <w:vMerge/>
            <w:vAlign w:val="center"/>
          </w:tcPr>
          <w:p w14:paraId="51EACC01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37A13022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3DC0662A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489" w:type="dxa"/>
            <w:vAlign w:val="center"/>
          </w:tcPr>
          <w:p w14:paraId="191C1C9F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资本保值增值率</w:t>
            </w:r>
          </w:p>
        </w:tc>
        <w:tc>
          <w:tcPr>
            <w:tcW w:w="4253" w:type="dxa"/>
            <w:vAlign w:val="center"/>
          </w:tcPr>
          <w:p w14:paraId="6682BE8D" w14:textId="77777777" w:rsidR="00637C39" w:rsidRPr="00637C39" w:rsidRDefault="00637C39" w:rsidP="00C013E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（所有者权益合计本期期末值</w:t>
            </w: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-</w:t>
            </w: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所有者权益合计本期期初值）</w:t>
            </w: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/</w:t>
            </w: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所有者权益合计本期期初值</w:t>
            </w:r>
          </w:p>
        </w:tc>
        <w:tc>
          <w:tcPr>
            <w:tcW w:w="651" w:type="dxa"/>
            <w:vAlign w:val="center"/>
          </w:tcPr>
          <w:p w14:paraId="40D5094E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37C39">
              <w:rPr>
                <w:rFonts w:ascii="Times New Roman" w:eastAsia="宋体" w:hAnsi="Times New Roman" w:cs="Times New Roman"/>
                <w:sz w:val="18"/>
                <w:szCs w:val="18"/>
              </w:rPr>
              <w:t>+</w:t>
            </w:r>
          </w:p>
        </w:tc>
      </w:tr>
      <w:tr w:rsidR="00637C39" w:rsidRPr="00637C39" w14:paraId="40A25BFC" w14:textId="77777777" w:rsidTr="00344E93">
        <w:trPr>
          <w:trHeight w:val="159"/>
        </w:trPr>
        <w:tc>
          <w:tcPr>
            <w:tcW w:w="0" w:type="auto"/>
            <w:vMerge/>
            <w:vAlign w:val="center"/>
          </w:tcPr>
          <w:p w14:paraId="7C0CB268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0E253738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44C42780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37C39">
              <w:rPr>
                <w:rFonts w:ascii="Times New Roman" w:eastAsia="宋体" w:hAnsi="Times New Roman" w:cs="Times New Roman"/>
                <w:sz w:val="18"/>
                <w:szCs w:val="18"/>
              </w:rPr>
              <w:t>创新发展能力</w:t>
            </w:r>
          </w:p>
        </w:tc>
        <w:tc>
          <w:tcPr>
            <w:tcW w:w="1489" w:type="dxa"/>
            <w:vAlign w:val="center"/>
          </w:tcPr>
          <w:p w14:paraId="342C3045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专利申请</w:t>
            </w:r>
          </w:p>
        </w:tc>
        <w:tc>
          <w:tcPr>
            <w:tcW w:w="4253" w:type="dxa"/>
            <w:vAlign w:val="center"/>
          </w:tcPr>
          <w:p w14:paraId="1E448795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37C39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年度专利申请数量</w:t>
            </w:r>
          </w:p>
        </w:tc>
        <w:tc>
          <w:tcPr>
            <w:tcW w:w="651" w:type="dxa"/>
            <w:vAlign w:val="center"/>
          </w:tcPr>
          <w:p w14:paraId="461221AA" w14:textId="77777777" w:rsidR="00637C39" w:rsidRPr="00637C39" w:rsidRDefault="00637C39" w:rsidP="00C01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37C39">
              <w:rPr>
                <w:rFonts w:ascii="Times New Roman" w:eastAsia="宋体" w:hAnsi="Times New Roman" w:cs="Times New Roman"/>
                <w:sz w:val="18"/>
                <w:szCs w:val="18"/>
              </w:rPr>
              <w:t>+</w:t>
            </w:r>
          </w:p>
        </w:tc>
      </w:tr>
    </w:tbl>
    <w:p w14:paraId="2FAFBB99" w14:textId="77777777" w:rsidR="00637C39" w:rsidRDefault="00637C39" w:rsidP="00637C39">
      <w:pPr>
        <w:rPr>
          <w:rFonts w:ascii="Times New Roman" w:eastAsia="宋体" w:hAnsi="Times New Roman" w:cs="Times New Roman"/>
          <w:sz w:val="15"/>
          <w:szCs w:val="16"/>
        </w:rPr>
      </w:pPr>
      <w:r w:rsidRPr="009F20E8">
        <w:rPr>
          <w:rFonts w:ascii="Times New Roman" w:eastAsia="宋体" w:hAnsi="Times New Roman" w:cs="Times New Roman"/>
          <w:sz w:val="15"/>
          <w:szCs w:val="16"/>
        </w:rPr>
        <w:t>注：表中</w:t>
      </w:r>
      <w:r w:rsidRPr="009F20E8">
        <w:rPr>
          <w:rFonts w:ascii="Times New Roman" w:eastAsia="宋体" w:hAnsi="Times New Roman" w:cs="Times New Roman"/>
          <w:sz w:val="15"/>
          <w:szCs w:val="16"/>
        </w:rPr>
        <w:t>“+”</w:t>
      </w:r>
      <w:r w:rsidRPr="009F20E8">
        <w:rPr>
          <w:rFonts w:ascii="Times New Roman" w:eastAsia="宋体" w:hAnsi="Times New Roman" w:cs="Times New Roman"/>
          <w:sz w:val="15"/>
          <w:szCs w:val="16"/>
        </w:rPr>
        <w:t>代表正向指标，</w:t>
      </w:r>
      <w:r w:rsidRPr="009F20E8">
        <w:rPr>
          <w:rFonts w:ascii="Times New Roman" w:eastAsia="宋体" w:hAnsi="Times New Roman" w:cs="Times New Roman"/>
          <w:sz w:val="15"/>
          <w:szCs w:val="16"/>
        </w:rPr>
        <w:t>“-”</w:t>
      </w:r>
      <w:r>
        <w:rPr>
          <w:rFonts w:ascii="Times New Roman" w:eastAsia="宋体" w:hAnsi="Times New Roman" w:cs="Times New Roman"/>
          <w:sz w:val="15"/>
          <w:szCs w:val="16"/>
        </w:rPr>
        <w:t>代表负向指标</w:t>
      </w:r>
    </w:p>
    <w:p w14:paraId="1590D472" w14:textId="77777777" w:rsidR="00637C39" w:rsidRPr="00637C39" w:rsidRDefault="00637C39" w:rsidP="00637C39">
      <w:pPr>
        <w:jc w:val="center"/>
        <w:rPr>
          <w:rFonts w:ascii="Times New Roman" w:eastAsia="宋体" w:hAnsi="Times New Roman" w:cs="Times New Roman"/>
          <w:b/>
          <w:bCs/>
          <w:sz w:val="28"/>
          <w:szCs w:val="28"/>
        </w:rPr>
      </w:pPr>
    </w:p>
    <w:p w14:paraId="0FEC3A2E" w14:textId="77777777" w:rsidR="00637C39" w:rsidRDefault="00637C39" w:rsidP="00637C39">
      <w:pPr>
        <w:jc w:val="center"/>
        <w:rPr>
          <w:rFonts w:ascii="Times New Roman" w:eastAsia="宋体" w:hAnsi="Times New Roman" w:cs="Times New Roman"/>
          <w:b/>
          <w:bCs/>
          <w:sz w:val="28"/>
          <w:szCs w:val="28"/>
        </w:rPr>
      </w:pPr>
    </w:p>
    <w:p w14:paraId="08DC904B" w14:textId="77777777" w:rsidR="00637C39" w:rsidRPr="00637C39" w:rsidRDefault="00637C39" w:rsidP="00637C39">
      <w:pPr>
        <w:jc w:val="center"/>
        <w:rPr>
          <w:rFonts w:ascii="Times New Roman" w:eastAsia="宋体" w:hAnsi="Times New Roman" w:cs="Times New Roman"/>
          <w:b/>
          <w:bCs/>
          <w:sz w:val="28"/>
          <w:szCs w:val="28"/>
        </w:rPr>
      </w:pPr>
    </w:p>
    <w:p w14:paraId="014CE19A" w14:textId="77777777" w:rsidR="00DC737B" w:rsidRDefault="00DC737B"/>
    <w:sectPr w:rsidR="00DC73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D69"/>
    <w:rsid w:val="000F4620"/>
    <w:rsid w:val="00344E93"/>
    <w:rsid w:val="00484110"/>
    <w:rsid w:val="00637C39"/>
    <w:rsid w:val="00766D69"/>
    <w:rsid w:val="007A36A0"/>
    <w:rsid w:val="00802A07"/>
    <w:rsid w:val="00DC737B"/>
    <w:rsid w:val="00FC3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FB2EA38"/>
  <w15:chartTrackingRefBased/>
  <w15:docId w15:val="{379535AD-ED00-4E5A-A054-6559251E2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484110"/>
    <w:pPr>
      <w:keepNext/>
      <w:keepLines/>
      <w:wordWrap w:val="0"/>
      <w:adjustRightInd w:val="0"/>
      <w:snapToGrid w:val="0"/>
      <w:spacing w:line="300" w:lineRule="auto"/>
      <w:jc w:val="left"/>
      <w:outlineLvl w:val="0"/>
    </w:pPr>
    <w:rPr>
      <w:rFonts w:eastAsia="宋体"/>
      <w:b/>
      <w:bCs/>
      <w:kern w:val="44"/>
      <w:sz w:val="2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484110"/>
    <w:rPr>
      <w:rFonts w:eastAsia="宋体"/>
      <w:b/>
      <w:bCs/>
      <w:kern w:val="44"/>
      <w:sz w:val="24"/>
      <w:szCs w:val="44"/>
    </w:rPr>
  </w:style>
  <w:style w:type="table" w:styleId="a3">
    <w:name w:val="Table Grid"/>
    <w:basedOn w:val="a1"/>
    <w:uiPriority w:val="39"/>
    <w:rsid w:val="00637C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826</Words>
  <Characters>826</Characters>
  <Application>Microsoft Office Word</Application>
  <DocSecurity>0</DocSecurity>
  <Lines>275</Lines>
  <Paragraphs>183</Paragraphs>
  <ScaleCrop>false</ScaleCrop>
  <Company/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547115811@163.com</dc:creator>
  <cp:keywords/>
  <dc:description/>
  <cp:lastModifiedBy>547115811@163.com</cp:lastModifiedBy>
  <cp:revision>5</cp:revision>
  <dcterms:created xsi:type="dcterms:W3CDTF">2025-04-10T16:06:00Z</dcterms:created>
  <dcterms:modified xsi:type="dcterms:W3CDTF">2025-04-30T15:49:00Z</dcterms:modified>
</cp:coreProperties>
</file>